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9FEC7" w14:textId="77777777" w:rsidR="0047565E" w:rsidRDefault="0047565E">
      <w:pPr>
        <w:widowControl w:val="0"/>
        <w:autoSpaceDE w:val="0"/>
        <w:autoSpaceDN w:val="0"/>
        <w:adjustRightInd w:val="0"/>
        <w:spacing w:after="0" w:line="240" w:lineRule="auto"/>
        <w:rPr>
          <w:rFonts w:ascii="Times New Roman" w:hAnsi="Times New Roman"/>
          <w:sz w:val="24"/>
          <w:szCs w:val="24"/>
        </w:rPr>
      </w:pPr>
    </w:p>
    <w:p w14:paraId="686FF128" w14:textId="77777777" w:rsidR="0047565E" w:rsidRDefault="0047565E">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 xml:space="preserve">NAVFAC                                           </w:t>
      </w:r>
      <w:r w:rsidR="00E27136">
        <w:rPr>
          <w:rFonts w:ascii="Courier" w:hAnsi="Courier" w:cs="Courier"/>
          <w:b/>
          <w:bCs/>
          <w:vanish/>
          <w:sz w:val="20"/>
          <w:szCs w:val="20"/>
        </w:rPr>
        <w:t xml:space="preserve">     </w:t>
      </w:r>
      <w:r>
        <w:rPr>
          <w:rFonts w:ascii="Courier" w:hAnsi="Courier" w:cs="Courier"/>
          <w:b/>
          <w:bCs/>
          <w:vanish/>
          <w:sz w:val="20"/>
          <w:szCs w:val="20"/>
        </w:rPr>
        <w:t xml:space="preserve">   PTS-H60 (June 2023)</w:t>
      </w:r>
      <w:r>
        <w:rPr>
          <w:rFonts w:ascii="Courier" w:hAnsi="Courier" w:cs="Courier"/>
          <w:b/>
          <w:bCs/>
          <w:vanish/>
          <w:sz w:val="20"/>
          <w:szCs w:val="20"/>
        </w:rPr>
        <w:br/>
        <w:t xml:space="preserve">                                             -----------------------------</w:t>
      </w:r>
      <w:r>
        <w:rPr>
          <w:rFonts w:ascii="Courier" w:hAnsi="Courier" w:cs="Courier"/>
          <w:b/>
          <w:bCs/>
          <w:vanish/>
          <w:sz w:val="20"/>
          <w:szCs w:val="20"/>
        </w:rPr>
        <w:br/>
        <w:t>Preparing Activity: NAVFAC                SUPERSEDING PTS-H60 (September 2022)</w:t>
      </w:r>
      <w:r>
        <w:rPr>
          <w:rFonts w:ascii="Courier" w:hAnsi="Courier" w:cs="Courier"/>
          <w:b/>
          <w:bCs/>
          <w:vanish/>
          <w:sz w:val="20"/>
          <w:szCs w:val="20"/>
        </w:rPr>
        <w:br/>
      </w:r>
      <w:r>
        <w:rPr>
          <w:rFonts w:ascii="Courier" w:hAnsi="Courier" w:cs="Courier"/>
          <w:b/>
          <w:bCs/>
          <w:vanish/>
          <w:sz w:val="20"/>
          <w:szCs w:val="20"/>
        </w:rPr>
        <w:br/>
        <w:t>PERFORMANCE TECHNICAL SPECIFICATION</w:t>
      </w:r>
      <w:r>
        <w:rPr>
          <w:rFonts w:ascii="Courier" w:hAnsi="Courier" w:cs="Courier"/>
          <w:b/>
          <w:bCs/>
          <w:vanish/>
          <w:sz w:val="20"/>
          <w:szCs w:val="20"/>
        </w:rPr>
        <w:br/>
        <w:t>***************************************************************************</w:t>
      </w:r>
    </w:p>
    <w:p w14:paraId="298375B5" w14:textId="77777777" w:rsidR="0047565E" w:rsidRDefault="0047565E">
      <w:pPr>
        <w:widowControl w:val="0"/>
        <w:autoSpaceDE w:val="0"/>
        <w:autoSpaceDN w:val="0"/>
        <w:adjustRightInd w:val="0"/>
        <w:spacing w:after="0" w:line="240" w:lineRule="auto"/>
        <w:rPr>
          <w:rFonts w:ascii="Courier" w:hAnsi="Courier" w:cs="Courier"/>
          <w:vanish/>
          <w:sz w:val="20"/>
          <w:szCs w:val="20"/>
        </w:rPr>
      </w:pPr>
    </w:p>
    <w:p w14:paraId="334762FE" w14:textId="77777777" w:rsidR="0047565E" w:rsidRDefault="0047565E">
      <w:pPr>
        <w:widowControl w:val="0"/>
        <w:autoSpaceDE w:val="0"/>
        <w:autoSpaceDN w:val="0"/>
        <w:adjustRightInd w:val="0"/>
        <w:spacing w:after="240" w:line="240" w:lineRule="auto"/>
        <w:jc w:val="center"/>
        <w:rPr>
          <w:rFonts w:ascii="Courier" w:hAnsi="Courier" w:cs="Courier"/>
          <w:sz w:val="20"/>
          <w:szCs w:val="20"/>
        </w:rPr>
      </w:pPr>
      <w:r>
        <w:rPr>
          <w:rFonts w:ascii="Courier" w:hAnsi="Courier" w:cs="Courier"/>
          <w:sz w:val="20"/>
          <w:szCs w:val="20"/>
        </w:rPr>
        <w:t>SECTION H60</w:t>
      </w:r>
      <w:r>
        <w:rPr>
          <w:rFonts w:ascii="Courier" w:hAnsi="Courier" w:cs="Courier"/>
          <w:sz w:val="20"/>
          <w:szCs w:val="20"/>
        </w:rPr>
        <w:br/>
      </w:r>
      <w:r>
        <w:rPr>
          <w:rFonts w:ascii="Courier" w:hAnsi="Courier" w:cs="Courier"/>
          <w:sz w:val="20"/>
          <w:szCs w:val="20"/>
        </w:rPr>
        <w:br/>
        <w:t>WATERFRONT DEMOLITION</w:t>
      </w:r>
      <w:r>
        <w:rPr>
          <w:rFonts w:ascii="Courier" w:hAnsi="Courier" w:cs="Courier"/>
          <w:sz w:val="20"/>
          <w:szCs w:val="20"/>
        </w:rPr>
        <w:br/>
        <w:t>06/23</w:t>
      </w:r>
    </w:p>
    <w:p w14:paraId="54AD73A1" w14:textId="77777777" w:rsidR="0047565E" w:rsidRDefault="0047565E">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This section is intended to be used as a guide and contains requirements that are common to many different types of facilities; however, not all requirements and equipment items will be applicable to all projects.  In addition, there may be special requirements for a particular project that are not addressed at all.  The RFP preparer may have to incorporate additional information to address these special requirements in this PTS and corresponding Part 3 ESR.  If the RFP preparer chooses to delete elements that are not required for the project, do not change the remaining Uniformat paragraph designations (example - A102001). Uniformat designations are unique to the products they are assigned to. However, the subparagraph numerical extensions (example - 1.2 or a,b,c) of the Uniformat designations may change if subparagraphs are deleted.</w:t>
      </w:r>
      <w:r>
        <w:rPr>
          <w:rFonts w:ascii="Courier" w:hAnsi="Courier" w:cs="Courier"/>
          <w:b/>
          <w:bCs/>
          <w:vanish/>
          <w:sz w:val="20"/>
          <w:szCs w:val="20"/>
        </w:rPr>
        <w:br/>
      </w:r>
      <w:r>
        <w:rPr>
          <w:rFonts w:ascii="Courier" w:hAnsi="Courier" w:cs="Courier"/>
          <w:b/>
          <w:bCs/>
          <w:vanish/>
          <w:sz w:val="20"/>
          <w:szCs w:val="20"/>
        </w:rPr>
        <w:br/>
        <w:t>This guide specification is formatted utilizing Uniformat II, an industry recognized standard, ASTM E 1557.  When the RFP preparer chooses to add a paragraph that does not apply to an existing building element already included in the specification, refer to the Uniformat/WBS located on the NAVFAC Design-Build Website for a listing of Uniformat II designations and definitions.</w:t>
      </w:r>
      <w:r>
        <w:rPr>
          <w:rFonts w:ascii="Courier" w:hAnsi="Courier" w:cs="Courier"/>
          <w:b/>
          <w:bCs/>
          <w:vanish/>
          <w:sz w:val="20"/>
          <w:szCs w:val="20"/>
        </w:rPr>
        <w:br/>
      </w:r>
      <w:r>
        <w:rPr>
          <w:rFonts w:ascii="Courier" w:hAnsi="Courier" w:cs="Courier"/>
          <w:b/>
          <w:bCs/>
          <w:vanish/>
          <w:sz w:val="20"/>
          <w:szCs w:val="20"/>
        </w:rPr>
        <w:br/>
        <w:t>NOTE:  The RFP preparer may view or hide the criteria notes in this PTS section by modifying the WORD preferences for "Hidden text".  To view the criteria notes, choose "File" then "Option".  Click "Display" then check the "Hidden text" box under "Always show these formatting marks on the screen".  In the same section, check the box for "Print hidden text" under "Printing options" to print the criteria notes.</w:t>
      </w:r>
      <w:r>
        <w:rPr>
          <w:rFonts w:ascii="Courier" w:hAnsi="Courier" w:cs="Courier"/>
          <w:b/>
          <w:bCs/>
          <w:vanish/>
          <w:sz w:val="20"/>
          <w:szCs w:val="20"/>
        </w:rPr>
        <w:br/>
        <w:t>***************************************************************************</w:t>
      </w:r>
    </w:p>
    <w:p w14:paraId="1D39BAA9" w14:textId="77777777" w:rsidR="0047565E" w:rsidRDefault="0047565E">
      <w:pPr>
        <w:widowControl w:val="0"/>
        <w:autoSpaceDE w:val="0"/>
        <w:autoSpaceDN w:val="0"/>
        <w:adjustRightInd w:val="0"/>
        <w:spacing w:after="0" w:line="240" w:lineRule="auto"/>
        <w:rPr>
          <w:rFonts w:ascii="Courier" w:hAnsi="Courier" w:cs="Courier"/>
          <w:vanish/>
          <w:sz w:val="20"/>
          <w:szCs w:val="20"/>
        </w:rPr>
      </w:pPr>
    </w:p>
    <w:p w14:paraId="4ABAB0B2" w14:textId="77777777" w:rsidR="0047565E" w:rsidRDefault="0047565E">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The Table of Contents is intended for navigation purposes only for the RFP writer and should not show up in the printed document.</w:t>
      </w:r>
      <w:r>
        <w:rPr>
          <w:rFonts w:ascii="Courier" w:hAnsi="Courier" w:cs="Courier"/>
          <w:b/>
          <w:bCs/>
          <w:vanish/>
          <w:sz w:val="20"/>
          <w:szCs w:val="20"/>
        </w:rPr>
        <w:br/>
      </w:r>
      <w:r>
        <w:rPr>
          <w:rFonts w:ascii="Courier" w:hAnsi="Courier" w:cs="Courier"/>
          <w:b/>
          <w:bCs/>
          <w:vanish/>
          <w:sz w:val="20"/>
          <w:szCs w:val="20"/>
        </w:rPr>
        <w:br/>
        <w:t>TABLE OF CONTENTS</w:t>
      </w:r>
      <w:r>
        <w:rPr>
          <w:rFonts w:ascii="Courier" w:hAnsi="Courier" w:cs="Courier"/>
          <w:b/>
          <w:bCs/>
          <w:vanish/>
          <w:sz w:val="20"/>
          <w:szCs w:val="20"/>
        </w:rPr>
        <w:br/>
      </w:r>
      <w:r>
        <w:rPr>
          <w:rFonts w:ascii="Courier" w:hAnsi="Courier" w:cs="Courier"/>
          <w:b/>
          <w:bCs/>
          <w:vanish/>
          <w:sz w:val="20"/>
          <w:szCs w:val="20"/>
        </w:rPr>
        <w:br/>
        <w:t>H60  GENERAL</w:t>
      </w:r>
      <w:r>
        <w:rPr>
          <w:rFonts w:ascii="Courier" w:hAnsi="Courier" w:cs="Courier"/>
          <w:b/>
          <w:bCs/>
          <w:vanish/>
          <w:sz w:val="20"/>
          <w:szCs w:val="20"/>
        </w:rPr>
        <w:br/>
        <w:t>H60  1.1  NARRATIVE</w:t>
      </w:r>
      <w:r>
        <w:rPr>
          <w:rFonts w:ascii="Courier" w:hAnsi="Courier" w:cs="Courier"/>
          <w:b/>
          <w:bCs/>
          <w:vanish/>
          <w:sz w:val="20"/>
          <w:szCs w:val="20"/>
        </w:rPr>
        <w:br/>
        <w:t>H60  1.2  WATERFRONT DEMOLITION DESIGN GUIDANCE</w:t>
      </w:r>
      <w:r>
        <w:rPr>
          <w:rFonts w:ascii="Courier" w:hAnsi="Courier" w:cs="Courier"/>
          <w:b/>
          <w:bCs/>
          <w:vanish/>
          <w:sz w:val="20"/>
          <w:szCs w:val="20"/>
        </w:rPr>
        <w:br/>
        <w:t>H60  1.3  QUALITY ASSURANCE</w:t>
      </w:r>
      <w:r>
        <w:rPr>
          <w:rFonts w:ascii="Courier" w:hAnsi="Courier" w:cs="Courier"/>
          <w:b/>
          <w:bCs/>
          <w:vanish/>
          <w:sz w:val="20"/>
          <w:szCs w:val="20"/>
        </w:rPr>
        <w:br/>
        <w:t>H60  1.4  DESIGN SUBMITTALS</w:t>
      </w:r>
      <w:r>
        <w:rPr>
          <w:rFonts w:ascii="Courier" w:hAnsi="Courier" w:cs="Courier"/>
          <w:b/>
          <w:bCs/>
          <w:vanish/>
          <w:sz w:val="20"/>
          <w:szCs w:val="20"/>
        </w:rPr>
        <w:br/>
        <w:t>H60  1.5  CONSTRUCTION SUBMITTALS</w:t>
      </w:r>
      <w:r>
        <w:rPr>
          <w:rFonts w:ascii="Courier" w:hAnsi="Courier" w:cs="Courier"/>
          <w:b/>
          <w:bCs/>
          <w:vanish/>
          <w:sz w:val="20"/>
          <w:szCs w:val="20"/>
        </w:rPr>
        <w:br/>
        <w:t>H6010  IN-WATER OR OVER-WATER DEMOLITION</w:t>
      </w:r>
      <w:r>
        <w:rPr>
          <w:rFonts w:ascii="Courier" w:hAnsi="Courier" w:cs="Courier"/>
          <w:b/>
          <w:bCs/>
          <w:vanish/>
          <w:sz w:val="20"/>
          <w:szCs w:val="20"/>
        </w:rPr>
        <w:br/>
        <w:t>H6020  NON-IN-WATER OR NON-OVER-WATER WATERFRONT DEMOLITION</w:t>
      </w:r>
      <w:r>
        <w:rPr>
          <w:rFonts w:ascii="Courier" w:hAnsi="Courier" w:cs="Courier"/>
          <w:b/>
          <w:bCs/>
          <w:vanish/>
          <w:sz w:val="20"/>
          <w:szCs w:val="20"/>
        </w:rPr>
        <w:br/>
        <w:t>H6030  HAZARDOUS COMPONENTS ABATEMENT</w:t>
      </w:r>
      <w:r>
        <w:rPr>
          <w:rFonts w:ascii="Courier" w:hAnsi="Courier" w:cs="Courier"/>
          <w:b/>
          <w:bCs/>
          <w:vanish/>
          <w:sz w:val="20"/>
          <w:szCs w:val="20"/>
        </w:rPr>
        <w:br/>
        <w:t>***************************************************************************</w:t>
      </w:r>
    </w:p>
    <w:p w14:paraId="77198B8E" w14:textId="77777777" w:rsidR="0047565E" w:rsidRDefault="0047565E">
      <w:pPr>
        <w:widowControl w:val="0"/>
        <w:autoSpaceDE w:val="0"/>
        <w:autoSpaceDN w:val="0"/>
        <w:adjustRightInd w:val="0"/>
        <w:spacing w:after="0" w:line="240" w:lineRule="auto"/>
        <w:rPr>
          <w:rFonts w:ascii="Courier" w:hAnsi="Courier" w:cs="Courier"/>
          <w:vanish/>
          <w:sz w:val="20"/>
          <w:szCs w:val="20"/>
        </w:rPr>
      </w:pPr>
    </w:p>
    <w:p w14:paraId="2A0BC032" w14:textId="77777777" w:rsidR="0047565E" w:rsidRDefault="0047565E">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H60 GENERAL </w:t>
      </w:r>
    </w:p>
    <w:p w14:paraId="1FD91083" w14:textId="77777777" w:rsidR="0047565E" w:rsidRDefault="0047565E">
      <w:pPr>
        <w:widowControl w:val="0"/>
        <w:autoSpaceDE w:val="0"/>
        <w:autoSpaceDN w:val="0"/>
        <w:adjustRightInd w:val="0"/>
        <w:spacing w:after="0" w:line="240" w:lineRule="auto"/>
        <w:rPr>
          <w:rFonts w:ascii="ArialMT" w:hAnsi="ArialMT"/>
          <w:sz w:val="20"/>
          <w:szCs w:val="20"/>
        </w:rPr>
      </w:pPr>
    </w:p>
    <w:p w14:paraId="655B3CF7" w14:textId="77777777" w:rsidR="0047565E" w:rsidRDefault="0047565E">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RFP Part 3 including the Engineering System Requirements (ESR) provide project specific requirements.  The RFP Part 4, Performance Technical Sections (PTS) provide generalized technical requirements that apply to multiple facility types and include more requirements than are applicable to any one project. </w:t>
      </w:r>
      <w:r w:rsidR="00E27136">
        <w:rPr>
          <w:rFonts w:ascii="Courier" w:hAnsi="Courier" w:cs="Courier"/>
          <w:sz w:val="20"/>
          <w:szCs w:val="20"/>
        </w:rPr>
        <w:t xml:space="preserve"> </w:t>
      </w:r>
      <w:r>
        <w:rPr>
          <w:rFonts w:ascii="Courier" w:hAnsi="Courier" w:cs="Courier"/>
          <w:sz w:val="20"/>
          <w:szCs w:val="20"/>
        </w:rPr>
        <w:t>Therefore, only the RFP Part 4 requirements that apply to the project and further define the RFP Part 3 project specific requirements are required.</w:t>
      </w:r>
    </w:p>
    <w:p w14:paraId="783EC597" w14:textId="77777777" w:rsidR="0047565E" w:rsidRDefault="0047565E">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H60 1.1 NARRATIVE </w:t>
      </w:r>
    </w:p>
    <w:p w14:paraId="1B2F2758" w14:textId="77777777" w:rsidR="0047565E" w:rsidRDefault="0047565E">
      <w:pPr>
        <w:widowControl w:val="0"/>
        <w:autoSpaceDE w:val="0"/>
        <w:autoSpaceDN w:val="0"/>
        <w:adjustRightInd w:val="0"/>
        <w:spacing w:after="0" w:line="240" w:lineRule="auto"/>
        <w:rPr>
          <w:rFonts w:ascii="ArialMT" w:hAnsi="ArialMT"/>
          <w:sz w:val="20"/>
          <w:szCs w:val="20"/>
        </w:rPr>
      </w:pPr>
    </w:p>
    <w:p w14:paraId="7B052D9D" w14:textId="77777777" w:rsidR="0047565E" w:rsidRDefault="0047565E">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Use this Section in conjunction with all parts of the Design Build (D/B) Request for Proposal (RFP) to determine the full requirements of this solicitation.</w:t>
      </w:r>
    </w:p>
    <w:p w14:paraId="10B3C74A" w14:textId="77777777" w:rsidR="0047565E" w:rsidRDefault="0047565E">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This Section includes the requirements for the design and construction of waterfront demolition, described in ESR H60, </w:t>
      </w:r>
      <w:r>
        <w:rPr>
          <w:rFonts w:ascii="Courier" w:hAnsi="Courier" w:cs="Courier"/>
          <w:i/>
          <w:iCs/>
          <w:sz w:val="20"/>
          <w:szCs w:val="20"/>
        </w:rPr>
        <w:t>Waterfront Demolition</w:t>
      </w:r>
      <w:r>
        <w:rPr>
          <w:rFonts w:ascii="Courier" w:hAnsi="Courier" w:cs="Courier"/>
          <w:sz w:val="20"/>
          <w:szCs w:val="20"/>
        </w:rPr>
        <w:t>, of Part 3 and as identified on the RFP drawings provided in Part 6.</w:t>
      </w:r>
    </w:p>
    <w:p w14:paraId="5BF1210C" w14:textId="77777777" w:rsidR="0047565E" w:rsidRDefault="0047565E">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H60 1.2 WATERFRONT DEMOLITION DESIGN GUIDANCE </w:t>
      </w:r>
    </w:p>
    <w:p w14:paraId="4C8DA7EB" w14:textId="77777777" w:rsidR="0047565E" w:rsidRDefault="0047565E">
      <w:pPr>
        <w:widowControl w:val="0"/>
        <w:autoSpaceDE w:val="0"/>
        <w:autoSpaceDN w:val="0"/>
        <w:adjustRightInd w:val="0"/>
        <w:spacing w:after="0" w:line="240" w:lineRule="auto"/>
        <w:rPr>
          <w:rFonts w:ascii="ArialMT" w:hAnsi="ArialMT"/>
          <w:sz w:val="20"/>
          <w:szCs w:val="20"/>
        </w:rPr>
      </w:pPr>
    </w:p>
    <w:p w14:paraId="716FC50D" w14:textId="77777777" w:rsidR="0047565E" w:rsidRDefault="0047565E">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 xml:space="preserve">NOTE:  This Performance Technical Specification (PTS) has been developed to utilize certain UFGS sections for prescriptive requirements.  However, there may be rare occasions when additional prescriptive specifications may be identified by the Engineering Systems Requirements (ESR) to be edited by the Contractor's Designer of Record. </w:t>
      </w:r>
      <w:r w:rsidR="00E27136">
        <w:rPr>
          <w:rFonts w:ascii="Courier" w:hAnsi="Courier" w:cs="Courier"/>
          <w:b/>
          <w:bCs/>
          <w:vanish/>
          <w:sz w:val="20"/>
          <w:szCs w:val="20"/>
        </w:rPr>
        <w:t xml:space="preserve"> </w:t>
      </w:r>
      <w:r>
        <w:rPr>
          <w:rFonts w:ascii="Courier" w:hAnsi="Courier" w:cs="Courier"/>
          <w:b/>
          <w:bCs/>
          <w:vanish/>
          <w:sz w:val="20"/>
          <w:szCs w:val="20"/>
        </w:rPr>
        <w:t>If other UFGS sections or standards are to be referenced in this PTS section, list those not covered by the UMRL in the following two paragraphs.</w:t>
      </w:r>
      <w:r>
        <w:rPr>
          <w:rFonts w:ascii="Courier" w:hAnsi="Courier" w:cs="Courier"/>
          <w:b/>
          <w:bCs/>
          <w:vanish/>
          <w:sz w:val="20"/>
          <w:szCs w:val="20"/>
        </w:rPr>
        <w:br/>
      </w:r>
      <w:r>
        <w:rPr>
          <w:rFonts w:ascii="Courier" w:hAnsi="Courier" w:cs="Courier"/>
          <w:b/>
          <w:bCs/>
          <w:vanish/>
          <w:sz w:val="20"/>
          <w:szCs w:val="20"/>
        </w:rPr>
        <w:br/>
        <w:t>If the product or system is new and not covered in the PTS, provide a new paragraph and heading.  If the product or system is presently covered in the PTS but is being changed by the reference to the UFGS, edit the PTS paragraphs to eliminate redundancy or conflicts.  In either case, identify the UFGS section in the products and materials (UNIFORMAT II/WBS level 4) text of the PTS as follows:</w:t>
      </w:r>
      <w:r>
        <w:rPr>
          <w:rFonts w:ascii="Courier" w:hAnsi="Courier" w:cs="Courier"/>
          <w:b/>
          <w:bCs/>
          <w:vanish/>
          <w:sz w:val="20"/>
          <w:szCs w:val="20"/>
        </w:rPr>
        <w:br/>
      </w:r>
      <w:r>
        <w:rPr>
          <w:rFonts w:ascii="Courier" w:hAnsi="Courier" w:cs="Courier"/>
          <w:b/>
          <w:bCs/>
          <w:vanish/>
          <w:sz w:val="20"/>
          <w:szCs w:val="20"/>
        </w:rPr>
        <w:br/>
        <w:t>"Uniformat II/WBS Number – Paragraph Number Paragraph Heading</w:t>
      </w:r>
      <w:r>
        <w:rPr>
          <w:rFonts w:ascii="Courier" w:hAnsi="Courier" w:cs="Courier"/>
          <w:b/>
          <w:bCs/>
          <w:vanish/>
          <w:sz w:val="20"/>
          <w:szCs w:val="20"/>
        </w:rPr>
        <w:br/>
        <w:t>The Designer of Record must utilize UFGS Section Number, "Section Title" for the project specification, and submit the edited specification section as a part of the design submittal for the project."</w:t>
      </w:r>
      <w:r>
        <w:rPr>
          <w:rFonts w:ascii="Courier" w:hAnsi="Courier" w:cs="Courier"/>
          <w:b/>
          <w:bCs/>
          <w:vanish/>
          <w:sz w:val="20"/>
          <w:szCs w:val="20"/>
        </w:rPr>
        <w:br/>
        <w:t>***************************************************************************</w:t>
      </w:r>
    </w:p>
    <w:p w14:paraId="67E76607" w14:textId="77777777" w:rsidR="0047565E" w:rsidRDefault="0047565E">
      <w:pPr>
        <w:widowControl w:val="0"/>
        <w:autoSpaceDE w:val="0"/>
        <w:autoSpaceDN w:val="0"/>
        <w:adjustRightInd w:val="0"/>
        <w:spacing w:after="0" w:line="240" w:lineRule="auto"/>
        <w:rPr>
          <w:rFonts w:ascii="Courier" w:hAnsi="Courier" w:cs="Courier"/>
          <w:vanish/>
          <w:sz w:val="20"/>
          <w:szCs w:val="20"/>
        </w:rPr>
      </w:pPr>
    </w:p>
    <w:p w14:paraId="3342005F" w14:textId="77777777" w:rsidR="0047565E" w:rsidRDefault="0047565E">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the design and installation in accordance with the following references.  This Performance Technical Specification (PTS) adds clarification to the fundamental requirements contained in the following Government Standards.  The general requirements of this PTS Section are located in PTS Section Z10, </w:t>
      </w:r>
      <w:r>
        <w:rPr>
          <w:rFonts w:ascii="Courier" w:hAnsi="Courier" w:cs="Courier"/>
          <w:i/>
          <w:iCs/>
          <w:sz w:val="20"/>
          <w:szCs w:val="20"/>
        </w:rPr>
        <w:t>General Performance Technical Specification</w:t>
      </w:r>
      <w:r>
        <w:rPr>
          <w:rFonts w:ascii="Courier" w:hAnsi="Courier" w:cs="Courier"/>
          <w:sz w:val="20"/>
          <w:szCs w:val="20"/>
        </w:rPr>
        <w:t>.</w:t>
      </w:r>
    </w:p>
    <w:p w14:paraId="06151096" w14:textId="77777777" w:rsidR="0047565E" w:rsidRDefault="0047565E">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H60 1.2.1 Government Standards </w:t>
      </w:r>
    </w:p>
    <w:p w14:paraId="7129F653" w14:textId="77777777" w:rsidR="0047565E" w:rsidRDefault="0047565E">
      <w:pPr>
        <w:widowControl w:val="0"/>
        <w:autoSpaceDE w:val="0"/>
        <w:autoSpaceDN w:val="0"/>
        <w:adjustRightInd w:val="0"/>
        <w:spacing w:after="0" w:line="240" w:lineRule="auto"/>
        <w:rPr>
          <w:rFonts w:ascii="ArialMT" w:hAnsi="ArialMT"/>
          <w:sz w:val="20"/>
          <w:szCs w:val="20"/>
        </w:rPr>
      </w:pPr>
    </w:p>
    <w:p w14:paraId="71DBB1F4" w14:textId="77777777" w:rsidR="0047565E" w:rsidRDefault="0047565E">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UNIFIED FACILITIES CRITERIA (UFC)</w:t>
      </w:r>
    </w:p>
    <w:p w14:paraId="1446DBBF" w14:textId="77777777" w:rsidR="0047565E" w:rsidRDefault="0047565E">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UFC 3-810-01N, </w:t>
      </w:r>
      <w:r>
        <w:rPr>
          <w:rFonts w:ascii="Courier" w:hAnsi="Courier" w:cs="Courier"/>
          <w:i/>
          <w:iCs/>
          <w:sz w:val="20"/>
          <w:szCs w:val="20"/>
        </w:rPr>
        <w:t>Navy and Marine Corps Environmental Engineering for Facility Construction</w:t>
      </w:r>
    </w:p>
    <w:p w14:paraId="7D68FCD5" w14:textId="77777777" w:rsidR="0047565E" w:rsidRDefault="0047565E">
      <w:pPr>
        <w:widowControl w:val="0"/>
        <w:autoSpaceDE w:val="0"/>
        <w:autoSpaceDN w:val="0"/>
        <w:adjustRightInd w:val="0"/>
        <w:spacing w:after="0" w:line="240" w:lineRule="auto"/>
        <w:ind w:left="2160"/>
        <w:rPr>
          <w:rFonts w:ascii="Courier" w:hAnsi="Courier" w:cs="Courier"/>
          <w:sz w:val="20"/>
          <w:szCs w:val="20"/>
        </w:rPr>
      </w:pPr>
    </w:p>
    <w:p w14:paraId="3FB87E66" w14:textId="77777777" w:rsidR="0047565E" w:rsidRDefault="0047565E">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UNIFIED FACILITIES GUIDE SPECIFICATIONS (UFGS)</w:t>
      </w:r>
    </w:p>
    <w:p w14:paraId="23D5F52F" w14:textId="77777777" w:rsidR="0047565E" w:rsidRDefault="0047565E">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UFGS Section 02 83 00, </w:t>
      </w:r>
      <w:r>
        <w:rPr>
          <w:rFonts w:ascii="Courier" w:hAnsi="Courier" w:cs="Courier"/>
          <w:i/>
          <w:iCs/>
          <w:sz w:val="20"/>
          <w:szCs w:val="20"/>
        </w:rPr>
        <w:t>Lead Remediation</w:t>
      </w:r>
    </w:p>
    <w:p w14:paraId="622BD5A7" w14:textId="77777777" w:rsidR="0047565E" w:rsidRDefault="0047565E">
      <w:pPr>
        <w:widowControl w:val="0"/>
        <w:autoSpaceDE w:val="0"/>
        <w:autoSpaceDN w:val="0"/>
        <w:adjustRightInd w:val="0"/>
        <w:spacing w:after="0" w:line="240" w:lineRule="auto"/>
        <w:rPr>
          <w:rFonts w:ascii="Courier" w:hAnsi="Courier" w:cs="Courier"/>
          <w:i/>
          <w:iCs/>
          <w:vanish/>
          <w:sz w:val="20"/>
          <w:szCs w:val="20"/>
        </w:rPr>
      </w:pPr>
      <w:r>
        <w:rPr>
          <w:rFonts w:ascii="Courier" w:hAnsi="Courier" w:cs="Courier"/>
          <w:b/>
          <w:bCs/>
          <w:i/>
          <w:iCs/>
          <w:vanish/>
          <w:sz w:val="20"/>
          <w:szCs w:val="20"/>
        </w:rPr>
        <w:t xml:space="preserve">*************************************************************************** </w:t>
      </w:r>
      <w:r>
        <w:rPr>
          <w:rFonts w:ascii="Courier" w:hAnsi="Courier" w:cs="Courier"/>
          <w:b/>
          <w:bCs/>
          <w:i/>
          <w:iCs/>
          <w:vanish/>
          <w:sz w:val="20"/>
          <w:szCs w:val="20"/>
        </w:rPr>
        <w:br/>
        <w:t>NOTE:  Add project-specific design information below.  Do not include information that is readily available to the contractor from UFC or other sources.</w:t>
      </w:r>
      <w:r>
        <w:rPr>
          <w:rFonts w:ascii="Courier" w:hAnsi="Courier" w:cs="Courier"/>
          <w:b/>
          <w:bCs/>
          <w:i/>
          <w:iCs/>
          <w:vanish/>
          <w:sz w:val="20"/>
          <w:szCs w:val="20"/>
        </w:rPr>
        <w:br/>
        <w:t>***************************************************************************</w:t>
      </w:r>
    </w:p>
    <w:p w14:paraId="46B04FBE" w14:textId="77777777" w:rsidR="0047565E" w:rsidRDefault="0047565E">
      <w:pPr>
        <w:widowControl w:val="0"/>
        <w:autoSpaceDE w:val="0"/>
        <w:autoSpaceDN w:val="0"/>
        <w:adjustRightInd w:val="0"/>
        <w:spacing w:after="0" w:line="240" w:lineRule="auto"/>
        <w:rPr>
          <w:rFonts w:ascii="Courier" w:hAnsi="Courier" w:cs="Courier"/>
          <w:i/>
          <w:iCs/>
          <w:vanish/>
          <w:sz w:val="20"/>
          <w:szCs w:val="20"/>
        </w:rPr>
      </w:pPr>
    </w:p>
    <w:p w14:paraId="74F01153" w14:textId="77777777" w:rsidR="0047565E" w:rsidRDefault="0047565E">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H60 1.2.2 General Requirements </w:t>
      </w:r>
    </w:p>
    <w:p w14:paraId="38D58D2C" w14:textId="77777777" w:rsidR="0047565E" w:rsidRDefault="0047565E">
      <w:pPr>
        <w:widowControl w:val="0"/>
        <w:autoSpaceDE w:val="0"/>
        <w:autoSpaceDN w:val="0"/>
        <w:adjustRightInd w:val="0"/>
        <w:spacing w:after="0" w:line="240" w:lineRule="auto"/>
        <w:rPr>
          <w:rFonts w:ascii="ArialMT" w:hAnsi="ArialMT"/>
          <w:sz w:val="20"/>
          <w:szCs w:val="20"/>
        </w:rPr>
      </w:pPr>
    </w:p>
    <w:p w14:paraId="739599BD" w14:textId="77777777" w:rsidR="0047565E" w:rsidRDefault="0047565E">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H60 1.2.2.1 General Demolition </w:t>
      </w:r>
    </w:p>
    <w:p w14:paraId="4D37CFCF" w14:textId="77777777" w:rsidR="0047565E" w:rsidRDefault="0047565E">
      <w:pPr>
        <w:widowControl w:val="0"/>
        <w:autoSpaceDE w:val="0"/>
        <w:autoSpaceDN w:val="0"/>
        <w:adjustRightInd w:val="0"/>
        <w:spacing w:after="0" w:line="240" w:lineRule="auto"/>
        <w:rPr>
          <w:rFonts w:ascii="ArialMT" w:hAnsi="ArialMT"/>
          <w:sz w:val="20"/>
          <w:szCs w:val="20"/>
        </w:rPr>
      </w:pPr>
    </w:p>
    <w:p w14:paraId="712C249E" w14:textId="77777777" w:rsidR="0047565E" w:rsidRDefault="0047565E">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The work includes demolition, salvage of identified items and materials and removal of resulting rubbish and debris.  Remove rubbish and debris from Government property daily, unless otherwise directed.  Materials that cannot be removed daily must be stored in areas specified in the Demolition Plan.  Remove indicated existing elements of waterfront facilities as identified on drawings provided in Part 6 and as required to </w:t>
      </w:r>
      <w:r>
        <w:rPr>
          <w:rFonts w:ascii="Courier" w:hAnsi="Courier" w:cs="Courier"/>
          <w:sz w:val="20"/>
          <w:szCs w:val="20"/>
        </w:rPr>
        <w:lastRenderedPageBreak/>
        <w:t>be determined by the Contractor.</w:t>
      </w:r>
    </w:p>
    <w:p w14:paraId="4585BB3B" w14:textId="77777777" w:rsidR="0047565E" w:rsidRDefault="0047565E">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H60 1.2.2.2 Utilities </w:t>
      </w:r>
    </w:p>
    <w:p w14:paraId="366CADC3" w14:textId="77777777" w:rsidR="0047565E" w:rsidRDefault="0047565E">
      <w:pPr>
        <w:widowControl w:val="0"/>
        <w:autoSpaceDE w:val="0"/>
        <w:autoSpaceDN w:val="0"/>
        <w:adjustRightInd w:val="0"/>
        <w:spacing w:after="0" w:line="240" w:lineRule="auto"/>
        <w:rPr>
          <w:rFonts w:ascii="ArialMT" w:hAnsi="ArialMT"/>
          <w:sz w:val="20"/>
          <w:szCs w:val="20"/>
        </w:rPr>
      </w:pPr>
    </w:p>
    <w:p w14:paraId="0252D7D4" w14:textId="77777777" w:rsidR="0047565E" w:rsidRDefault="0047565E">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Remove existing utilities as identified in ESR H60, </w:t>
      </w:r>
      <w:r>
        <w:rPr>
          <w:rFonts w:ascii="Courier" w:hAnsi="Courier" w:cs="Courier"/>
          <w:i/>
          <w:iCs/>
          <w:sz w:val="20"/>
          <w:szCs w:val="20"/>
        </w:rPr>
        <w:t xml:space="preserve">Waterfront Demolition </w:t>
      </w:r>
      <w:r>
        <w:rPr>
          <w:rFonts w:ascii="Courier" w:hAnsi="Courier" w:cs="Courier"/>
          <w:sz w:val="20"/>
          <w:szCs w:val="20"/>
        </w:rPr>
        <w:t>in Part 3, and on RFP drawings provided in Part 6 and terminate in a manner conforming to the nationally recognized code covering the specific utility.</w:t>
      </w:r>
    </w:p>
    <w:p w14:paraId="3F2E8628" w14:textId="77777777" w:rsidR="0047565E" w:rsidRDefault="0047565E">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H60 1.2.2.3 Dust Control </w:t>
      </w:r>
    </w:p>
    <w:p w14:paraId="76DD7177" w14:textId="77777777" w:rsidR="0047565E" w:rsidRDefault="0047565E">
      <w:pPr>
        <w:widowControl w:val="0"/>
        <w:autoSpaceDE w:val="0"/>
        <w:autoSpaceDN w:val="0"/>
        <w:adjustRightInd w:val="0"/>
        <w:spacing w:after="0" w:line="240" w:lineRule="auto"/>
        <w:rPr>
          <w:rFonts w:ascii="ArialMT" w:hAnsi="ArialMT"/>
          <w:sz w:val="20"/>
          <w:szCs w:val="20"/>
        </w:rPr>
      </w:pPr>
    </w:p>
    <w:p w14:paraId="2856D745" w14:textId="77777777" w:rsidR="0047565E" w:rsidRDefault="0047565E">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Prevent the spread of dust and debris and avoid the creation of a nuisance or hazard in the surrounding area. </w:t>
      </w:r>
    </w:p>
    <w:p w14:paraId="268D416B" w14:textId="77777777" w:rsidR="0047565E" w:rsidRDefault="0047565E">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H60 1.2.2.4 Traffic Control </w:t>
      </w:r>
    </w:p>
    <w:p w14:paraId="14136710" w14:textId="77777777" w:rsidR="0047565E" w:rsidRDefault="0047565E">
      <w:pPr>
        <w:widowControl w:val="0"/>
        <w:autoSpaceDE w:val="0"/>
        <w:autoSpaceDN w:val="0"/>
        <w:adjustRightInd w:val="0"/>
        <w:spacing w:after="0" w:line="240" w:lineRule="auto"/>
        <w:rPr>
          <w:rFonts w:ascii="ArialMT" w:hAnsi="ArialMT"/>
          <w:sz w:val="20"/>
          <w:szCs w:val="20"/>
        </w:rPr>
      </w:pPr>
    </w:p>
    <w:p w14:paraId="47658556" w14:textId="77777777" w:rsidR="0047565E" w:rsidRDefault="0047565E">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Where pedestrian and vehicle safety is endangered, use traffic barricades. </w:t>
      </w:r>
    </w:p>
    <w:p w14:paraId="1CB91ABF" w14:textId="77777777" w:rsidR="0047565E" w:rsidRDefault="0047565E">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H60 1.2.2.5 Burning </w:t>
      </w:r>
    </w:p>
    <w:p w14:paraId="0443D773" w14:textId="77777777" w:rsidR="0047565E" w:rsidRDefault="0047565E">
      <w:pPr>
        <w:widowControl w:val="0"/>
        <w:autoSpaceDE w:val="0"/>
        <w:autoSpaceDN w:val="0"/>
        <w:adjustRightInd w:val="0"/>
        <w:spacing w:after="0" w:line="240" w:lineRule="auto"/>
        <w:rPr>
          <w:rFonts w:ascii="ArialMT" w:hAnsi="ArialMT"/>
          <w:sz w:val="20"/>
          <w:szCs w:val="20"/>
        </w:rPr>
      </w:pPr>
    </w:p>
    <w:p w14:paraId="39AD03E3" w14:textId="77777777" w:rsidR="0047565E" w:rsidRDefault="0047565E">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Burning is not allowed.</w:t>
      </w:r>
    </w:p>
    <w:p w14:paraId="3D7ADC47" w14:textId="77777777" w:rsidR="0047565E" w:rsidRDefault="0047565E">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H60 1.2.2.6 Lead Based Paint </w:t>
      </w:r>
    </w:p>
    <w:p w14:paraId="2D616E34" w14:textId="77777777" w:rsidR="0047565E" w:rsidRDefault="0047565E">
      <w:pPr>
        <w:widowControl w:val="0"/>
        <w:autoSpaceDE w:val="0"/>
        <w:autoSpaceDN w:val="0"/>
        <w:adjustRightInd w:val="0"/>
        <w:spacing w:after="0" w:line="240" w:lineRule="auto"/>
        <w:rPr>
          <w:rFonts w:ascii="ArialMT" w:hAnsi="ArialMT"/>
          <w:sz w:val="20"/>
          <w:szCs w:val="20"/>
        </w:rPr>
      </w:pPr>
    </w:p>
    <w:p w14:paraId="0DCD95A3" w14:textId="77777777" w:rsidR="0047565E" w:rsidRDefault="0047565E">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Refer to the "HAZARDOUS COMPONENT ABATEMENT" paragraph in PTS F20, </w:t>
      </w:r>
      <w:r>
        <w:rPr>
          <w:rFonts w:ascii="Courier" w:hAnsi="Courier" w:cs="Courier"/>
          <w:i/>
          <w:iCs/>
          <w:sz w:val="20"/>
          <w:szCs w:val="20"/>
        </w:rPr>
        <w:t>Selective Building Demolition</w:t>
      </w:r>
      <w:r>
        <w:rPr>
          <w:rFonts w:ascii="Courier" w:hAnsi="Courier" w:cs="Courier"/>
          <w:sz w:val="20"/>
          <w:szCs w:val="20"/>
        </w:rPr>
        <w:t>.</w:t>
      </w:r>
    </w:p>
    <w:p w14:paraId="22F25267" w14:textId="77777777" w:rsidR="0047565E" w:rsidRDefault="0047565E">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H60 1.2.2.7 PCB's </w:t>
      </w:r>
    </w:p>
    <w:p w14:paraId="454FF822" w14:textId="77777777" w:rsidR="0047565E" w:rsidRDefault="0047565E">
      <w:pPr>
        <w:widowControl w:val="0"/>
        <w:autoSpaceDE w:val="0"/>
        <w:autoSpaceDN w:val="0"/>
        <w:adjustRightInd w:val="0"/>
        <w:spacing w:after="0" w:line="240" w:lineRule="auto"/>
        <w:rPr>
          <w:rFonts w:ascii="ArialMT" w:hAnsi="ArialMT"/>
          <w:sz w:val="20"/>
          <w:szCs w:val="20"/>
        </w:rPr>
      </w:pPr>
    </w:p>
    <w:p w14:paraId="27EF0B77" w14:textId="77777777" w:rsidR="0047565E" w:rsidRDefault="0047565E">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Refer to the "HAZARDOUS COMPONENT ABATEMENT" paragraph in PTS F20, </w:t>
      </w:r>
      <w:r>
        <w:rPr>
          <w:rFonts w:ascii="Courier" w:hAnsi="Courier" w:cs="Courier"/>
          <w:i/>
          <w:iCs/>
          <w:sz w:val="20"/>
          <w:szCs w:val="20"/>
        </w:rPr>
        <w:t>Selective Building Demolition</w:t>
      </w:r>
      <w:r>
        <w:rPr>
          <w:rFonts w:ascii="Courier" w:hAnsi="Courier" w:cs="Courier"/>
          <w:sz w:val="20"/>
          <w:szCs w:val="20"/>
        </w:rPr>
        <w:t>.</w:t>
      </w:r>
    </w:p>
    <w:p w14:paraId="1897A947" w14:textId="77777777" w:rsidR="0047565E" w:rsidRDefault="0047565E">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H60 1.2.2.8 Low Level Radioactive (LLR) Component </w:t>
      </w:r>
    </w:p>
    <w:p w14:paraId="0D45C27E" w14:textId="77777777" w:rsidR="0047565E" w:rsidRDefault="0047565E">
      <w:pPr>
        <w:widowControl w:val="0"/>
        <w:autoSpaceDE w:val="0"/>
        <w:autoSpaceDN w:val="0"/>
        <w:adjustRightInd w:val="0"/>
        <w:spacing w:after="0" w:line="240" w:lineRule="auto"/>
        <w:rPr>
          <w:rFonts w:ascii="ArialMT" w:hAnsi="ArialMT"/>
          <w:sz w:val="20"/>
          <w:szCs w:val="20"/>
        </w:rPr>
      </w:pPr>
    </w:p>
    <w:p w14:paraId="48430A01" w14:textId="77777777" w:rsidR="0047565E" w:rsidRDefault="0047565E">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Refer to the "HAZARDOUS COMPONENT ABATEMENT" paragraph in PTS F20, </w:t>
      </w:r>
      <w:r>
        <w:rPr>
          <w:rFonts w:ascii="Courier" w:hAnsi="Courier" w:cs="Courier"/>
          <w:i/>
          <w:iCs/>
          <w:sz w:val="20"/>
          <w:szCs w:val="20"/>
        </w:rPr>
        <w:t>Selective Building Demolition</w:t>
      </w:r>
      <w:r>
        <w:rPr>
          <w:rFonts w:ascii="Courier" w:hAnsi="Courier" w:cs="Courier"/>
          <w:sz w:val="20"/>
          <w:szCs w:val="20"/>
        </w:rPr>
        <w:t>.</w:t>
      </w:r>
    </w:p>
    <w:p w14:paraId="4EE3A4F9" w14:textId="77777777" w:rsidR="0047565E" w:rsidRDefault="0047565E">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H60 1.2.2.9 Mercury </w:t>
      </w:r>
    </w:p>
    <w:p w14:paraId="0E3CD1C8" w14:textId="77777777" w:rsidR="0047565E" w:rsidRDefault="0047565E">
      <w:pPr>
        <w:widowControl w:val="0"/>
        <w:autoSpaceDE w:val="0"/>
        <w:autoSpaceDN w:val="0"/>
        <w:adjustRightInd w:val="0"/>
        <w:spacing w:after="0" w:line="240" w:lineRule="auto"/>
        <w:rPr>
          <w:rFonts w:ascii="ArialMT" w:hAnsi="ArialMT"/>
          <w:sz w:val="20"/>
          <w:szCs w:val="20"/>
        </w:rPr>
      </w:pPr>
    </w:p>
    <w:p w14:paraId="4E4899A8" w14:textId="77777777" w:rsidR="0047565E" w:rsidRDefault="0047565E">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Refer to the "HAZARDOUS COMPONENT ABATEMENT" paragraph in PTS F20, </w:t>
      </w:r>
      <w:r>
        <w:rPr>
          <w:rFonts w:ascii="Courier" w:hAnsi="Courier" w:cs="Courier"/>
          <w:i/>
          <w:iCs/>
          <w:sz w:val="20"/>
          <w:szCs w:val="20"/>
        </w:rPr>
        <w:t>Selective Building Demolition</w:t>
      </w:r>
      <w:r>
        <w:rPr>
          <w:rFonts w:ascii="Courier" w:hAnsi="Courier" w:cs="Courier"/>
          <w:sz w:val="20"/>
          <w:szCs w:val="20"/>
        </w:rPr>
        <w:t>.</w:t>
      </w:r>
    </w:p>
    <w:p w14:paraId="523B9E1E" w14:textId="77777777" w:rsidR="0047565E" w:rsidRDefault="0047565E">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H60 1.2.2.10 Ozone Depleting Substance (ODS) </w:t>
      </w:r>
    </w:p>
    <w:p w14:paraId="542DC7CE" w14:textId="77777777" w:rsidR="0047565E" w:rsidRDefault="0047565E">
      <w:pPr>
        <w:widowControl w:val="0"/>
        <w:autoSpaceDE w:val="0"/>
        <w:autoSpaceDN w:val="0"/>
        <w:adjustRightInd w:val="0"/>
        <w:spacing w:after="0" w:line="240" w:lineRule="auto"/>
        <w:rPr>
          <w:rFonts w:ascii="ArialMT" w:hAnsi="ArialMT"/>
          <w:sz w:val="20"/>
          <w:szCs w:val="20"/>
        </w:rPr>
      </w:pPr>
    </w:p>
    <w:p w14:paraId="7B56FAAE" w14:textId="77777777" w:rsidR="0047565E" w:rsidRDefault="0047565E">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Refer to the "OZONE DEPLETING SUBSTANCES (ODS)" paragraph in PTS Section F20, </w:t>
      </w:r>
      <w:r>
        <w:rPr>
          <w:rFonts w:ascii="Courier" w:hAnsi="Courier" w:cs="Courier"/>
          <w:i/>
          <w:iCs/>
          <w:sz w:val="20"/>
          <w:szCs w:val="20"/>
        </w:rPr>
        <w:t>Selective Building Demolition</w:t>
      </w:r>
      <w:r>
        <w:rPr>
          <w:rFonts w:ascii="Courier" w:hAnsi="Courier" w:cs="Courier"/>
          <w:sz w:val="20"/>
          <w:szCs w:val="20"/>
        </w:rPr>
        <w:t>.</w:t>
      </w:r>
    </w:p>
    <w:p w14:paraId="52DBE50A" w14:textId="77777777" w:rsidR="0047565E" w:rsidRDefault="0047565E">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H60 1.2.2.11 Salvage Material </w:t>
      </w:r>
    </w:p>
    <w:p w14:paraId="58EE85FA" w14:textId="77777777" w:rsidR="0047565E" w:rsidRDefault="0047565E">
      <w:pPr>
        <w:widowControl w:val="0"/>
        <w:autoSpaceDE w:val="0"/>
        <w:autoSpaceDN w:val="0"/>
        <w:adjustRightInd w:val="0"/>
        <w:spacing w:after="0" w:line="240" w:lineRule="auto"/>
        <w:rPr>
          <w:rFonts w:ascii="ArialMT" w:hAnsi="ArialMT"/>
          <w:sz w:val="20"/>
          <w:szCs w:val="20"/>
        </w:rPr>
      </w:pPr>
    </w:p>
    <w:p w14:paraId="51969D63" w14:textId="77777777" w:rsidR="0047565E" w:rsidRDefault="0047565E">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All demolished material will become the property of the Contractor except for the salvage items identified in ESR H60, </w:t>
      </w:r>
      <w:r>
        <w:rPr>
          <w:rFonts w:ascii="Courier" w:hAnsi="Courier" w:cs="Courier"/>
          <w:i/>
          <w:iCs/>
          <w:sz w:val="20"/>
          <w:szCs w:val="20"/>
        </w:rPr>
        <w:t>Waterfront Demolition</w:t>
      </w:r>
      <w:r>
        <w:rPr>
          <w:rFonts w:ascii="Courier" w:hAnsi="Courier" w:cs="Courier"/>
          <w:sz w:val="20"/>
          <w:szCs w:val="20"/>
        </w:rPr>
        <w:t xml:space="preserve">, in Part 3.  Salvage items will become the property of the Government. </w:t>
      </w:r>
    </w:p>
    <w:p w14:paraId="1A20C971" w14:textId="77777777" w:rsidR="0047565E" w:rsidRDefault="0047565E">
      <w:pPr>
        <w:widowControl w:val="0"/>
        <w:autoSpaceDE w:val="0"/>
        <w:autoSpaceDN w:val="0"/>
        <w:adjustRightInd w:val="0"/>
        <w:spacing w:after="0" w:line="240" w:lineRule="auto"/>
        <w:ind w:left="1440"/>
        <w:rPr>
          <w:rFonts w:ascii="Courier" w:hAnsi="Courier" w:cs="Courier"/>
          <w:sz w:val="20"/>
          <w:szCs w:val="20"/>
        </w:rPr>
      </w:pPr>
      <w:r>
        <w:rPr>
          <w:rFonts w:ascii="Courier" w:hAnsi="Courier" w:cs="Courier"/>
          <w:b/>
          <w:bCs/>
          <w:sz w:val="20"/>
          <w:szCs w:val="20"/>
        </w:rPr>
        <w:t xml:space="preserve">   H60 1.2.2.12 Permit and Environmental Control </w:t>
      </w:r>
    </w:p>
    <w:p w14:paraId="76DCABCB" w14:textId="77777777" w:rsidR="0047565E" w:rsidRDefault="0047565E">
      <w:pPr>
        <w:widowControl w:val="0"/>
        <w:autoSpaceDE w:val="0"/>
        <w:autoSpaceDN w:val="0"/>
        <w:adjustRightInd w:val="0"/>
        <w:spacing w:after="0" w:line="240" w:lineRule="auto"/>
        <w:rPr>
          <w:rFonts w:ascii="ArialMT" w:hAnsi="ArialMT"/>
          <w:sz w:val="20"/>
          <w:szCs w:val="20"/>
        </w:rPr>
      </w:pPr>
    </w:p>
    <w:p w14:paraId="0AB79059" w14:textId="77777777" w:rsidR="0047565E" w:rsidRDefault="0047565E">
      <w:pPr>
        <w:widowControl w:val="0"/>
        <w:autoSpaceDE w:val="0"/>
        <w:autoSpaceDN w:val="0"/>
        <w:adjustRightInd w:val="0"/>
        <w:spacing w:after="240" w:line="240" w:lineRule="auto"/>
        <w:ind w:left="2160"/>
        <w:rPr>
          <w:rFonts w:ascii="Courier" w:hAnsi="Courier" w:cs="Courier"/>
          <w:sz w:val="20"/>
          <w:szCs w:val="20"/>
        </w:rPr>
      </w:pPr>
      <w:r>
        <w:rPr>
          <w:rFonts w:ascii="Courier" w:hAnsi="Courier" w:cs="Courier"/>
          <w:sz w:val="20"/>
          <w:szCs w:val="20"/>
        </w:rPr>
        <w:t xml:space="preserve">Waterfront demolition work must meet the permit and environmental control requirements of Part 2 Section 01 57 19, </w:t>
      </w:r>
      <w:r>
        <w:rPr>
          <w:rFonts w:ascii="Courier" w:hAnsi="Courier" w:cs="Courier"/>
          <w:i/>
          <w:iCs/>
          <w:sz w:val="20"/>
          <w:szCs w:val="20"/>
        </w:rPr>
        <w:t>Temporary Environmental Controls</w:t>
      </w:r>
      <w:r>
        <w:rPr>
          <w:rFonts w:ascii="Courier" w:hAnsi="Courier" w:cs="Courier"/>
          <w:sz w:val="20"/>
          <w:szCs w:val="20"/>
        </w:rPr>
        <w:t>.  Do not commence in-water and over-water demolition until the required U.S. Army Corps of Engineers (USACOE) permits are obtained. Construction must meet the conditions stipulated in the USACOE permits.</w:t>
      </w:r>
    </w:p>
    <w:p w14:paraId="3F2954B7" w14:textId="77777777" w:rsidR="0047565E" w:rsidRDefault="0047565E">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H60 1.3 QUALITY ASSURANCE </w:t>
      </w:r>
    </w:p>
    <w:p w14:paraId="2FA3B4AB" w14:textId="77777777" w:rsidR="0047565E" w:rsidRDefault="0047565E">
      <w:pPr>
        <w:widowControl w:val="0"/>
        <w:autoSpaceDE w:val="0"/>
        <w:autoSpaceDN w:val="0"/>
        <w:adjustRightInd w:val="0"/>
        <w:spacing w:after="0" w:line="240" w:lineRule="auto"/>
        <w:rPr>
          <w:rFonts w:ascii="ArialMT" w:hAnsi="ArialMT"/>
          <w:sz w:val="20"/>
          <w:szCs w:val="20"/>
        </w:rPr>
      </w:pPr>
    </w:p>
    <w:p w14:paraId="3656C2D6" w14:textId="77777777" w:rsidR="0047565E" w:rsidRDefault="0047565E">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Submit qualifications, certifications, and Test Plans indicated herein 45 calendar days prior to the expected date of execution. Notify the Contracting Officer 14 calendar days prior to all testing. Submit test results within 7 calendar days of completion of testing.</w:t>
      </w:r>
    </w:p>
    <w:p w14:paraId="397D66DB" w14:textId="77777777" w:rsidR="0047565E" w:rsidRDefault="0047565E">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The Designer of Record is responsible for approving the submittals listed below.</w:t>
      </w:r>
    </w:p>
    <w:p w14:paraId="1ADFB49B" w14:textId="77777777" w:rsidR="0047565E" w:rsidRDefault="0047565E">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H60 1.4 DESIGN SUBMITTALS </w:t>
      </w:r>
    </w:p>
    <w:p w14:paraId="13205802" w14:textId="77777777" w:rsidR="0047565E" w:rsidRDefault="0047565E">
      <w:pPr>
        <w:widowControl w:val="0"/>
        <w:autoSpaceDE w:val="0"/>
        <w:autoSpaceDN w:val="0"/>
        <w:adjustRightInd w:val="0"/>
        <w:spacing w:after="0" w:line="240" w:lineRule="auto"/>
        <w:rPr>
          <w:rFonts w:ascii="ArialMT" w:hAnsi="ArialMT"/>
          <w:sz w:val="20"/>
          <w:szCs w:val="20"/>
        </w:rPr>
      </w:pPr>
    </w:p>
    <w:p w14:paraId="5ADCF2F5" w14:textId="77777777" w:rsidR="0047565E" w:rsidRDefault="0047565E">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Submit design submittals in accordance with PTS Section Z10, </w:t>
      </w:r>
      <w:r>
        <w:rPr>
          <w:rFonts w:ascii="Courier" w:hAnsi="Courier" w:cs="Courier"/>
          <w:i/>
          <w:iCs/>
          <w:sz w:val="20"/>
          <w:szCs w:val="20"/>
        </w:rPr>
        <w:t>General Performance Technical Specification</w:t>
      </w:r>
      <w:r>
        <w:rPr>
          <w:rFonts w:ascii="Courier" w:hAnsi="Courier" w:cs="Courier"/>
          <w:sz w:val="20"/>
          <w:szCs w:val="20"/>
        </w:rPr>
        <w:t xml:space="preserve">, Part 2 Section 01 33 10.05 20, </w:t>
      </w:r>
      <w:r>
        <w:rPr>
          <w:rFonts w:ascii="Courier" w:hAnsi="Courier" w:cs="Courier"/>
          <w:i/>
          <w:iCs/>
          <w:sz w:val="20"/>
          <w:szCs w:val="20"/>
        </w:rPr>
        <w:t>Design Submittal Procedures</w:t>
      </w:r>
      <w:r>
        <w:rPr>
          <w:rFonts w:ascii="Courier" w:hAnsi="Courier" w:cs="Courier"/>
          <w:sz w:val="20"/>
          <w:szCs w:val="20"/>
        </w:rPr>
        <w:t xml:space="preserve">, FC 1-300-09N, </w:t>
      </w:r>
      <w:r>
        <w:rPr>
          <w:rFonts w:ascii="Courier" w:hAnsi="Courier" w:cs="Courier"/>
          <w:i/>
          <w:iCs/>
          <w:sz w:val="20"/>
          <w:szCs w:val="20"/>
        </w:rPr>
        <w:t>Navy and Marine Corps Design Procedures</w:t>
      </w:r>
      <w:r>
        <w:rPr>
          <w:rFonts w:ascii="Courier" w:hAnsi="Courier" w:cs="Courier"/>
          <w:sz w:val="20"/>
          <w:szCs w:val="20"/>
        </w:rPr>
        <w:t xml:space="preserve">, and UFC 3-810-01N, </w:t>
      </w:r>
      <w:r>
        <w:rPr>
          <w:rFonts w:ascii="Courier" w:hAnsi="Courier" w:cs="Courier"/>
          <w:i/>
          <w:iCs/>
          <w:sz w:val="20"/>
          <w:szCs w:val="20"/>
        </w:rPr>
        <w:t>Navy and Marine Corps Environmental Engineering for Facility Construction</w:t>
      </w:r>
      <w:r>
        <w:rPr>
          <w:rFonts w:ascii="Courier" w:hAnsi="Courier" w:cs="Courier"/>
          <w:sz w:val="20"/>
          <w:szCs w:val="20"/>
        </w:rPr>
        <w:t>.</w:t>
      </w:r>
    </w:p>
    <w:p w14:paraId="69617D9D" w14:textId="77777777" w:rsidR="0047565E" w:rsidRDefault="0047565E">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H60 1.5 CONSTRUCTION SUBMITTALS </w:t>
      </w:r>
    </w:p>
    <w:p w14:paraId="5C1CDD5B" w14:textId="77777777" w:rsidR="0047565E" w:rsidRDefault="0047565E">
      <w:pPr>
        <w:widowControl w:val="0"/>
        <w:autoSpaceDE w:val="0"/>
        <w:autoSpaceDN w:val="0"/>
        <w:adjustRightInd w:val="0"/>
        <w:spacing w:after="0" w:line="240" w:lineRule="auto"/>
        <w:rPr>
          <w:rFonts w:ascii="ArialMT" w:hAnsi="ArialMT"/>
          <w:sz w:val="20"/>
          <w:szCs w:val="20"/>
        </w:rPr>
      </w:pPr>
    </w:p>
    <w:p w14:paraId="5A64C66C" w14:textId="77777777" w:rsidR="0047565E" w:rsidRDefault="0047565E">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The general requirements of this PTS Section are located in PTS Section Z10, </w:t>
      </w:r>
      <w:r>
        <w:rPr>
          <w:rFonts w:ascii="Courier" w:hAnsi="Courier" w:cs="Courier"/>
          <w:i/>
          <w:iCs/>
          <w:sz w:val="20"/>
          <w:szCs w:val="20"/>
        </w:rPr>
        <w:t>General Performance Technical Specification</w:t>
      </w:r>
      <w:r>
        <w:rPr>
          <w:rFonts w:ascii="Courier" w:hAnsi="Courier" w:cs="Courier"/>
          <w:sz w:val="20"/>
          <w:szCs w:val="20"/>
        </w:rPr>
        <w:t xml:space="preserve">.  Submit construction submittals in accordance with Part 2 Section 01 33 00.05 20, </w:t>
      </w:r>
      <w:r>
        <w:rPr>
          <w:rFonts w:ascii="Courier" w:hAnsi="Courier" w:cs="Courier"/>
          <w:i/>
          <w:iCs/>
          <w:sz w:val="20"/>
          <w:szCs w:val="20"/>
        </w:rPr>
        <w:t>Construction Submittal Procedures</w:t>
      </w:r>
      <w:r>
        <w:rPr>
          <w:rFonts w:ascii="Courier" w:hAnsi="Courier" w:cs="Courier"/>
          <w:sz w:val="20"/>
          <w:szCs w:val="20"/>
        </w:rPr>
        <w:t>.</w:t>
      </w:r>
    </w:p>
    <w:p w14:paraId="671CF952" w14:textId="77777777" w:rsidR="0047565E" w:rsidRDefault="0047565E">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H6010 IN-WATER OR OVER-WATER DEMOLITION </w:t>
      </w:r>
    </w:p>
    <w:p w14:paraId="5D95A1B1" w14:textId="77777777" w:rsidR="0047565E" w:rsidRDefault="0047565E">
      <w:pPr>
        <w:widowControl w:val="0"/>
        <w:autoSpaceDE w:val="0"/>
        <w:autoSpaceDN w:val="0"/>
        <w:adjustRightInd w:val="0"/>
        <w:spacing w:after="0" w:line="240" w:lineRule="auto"/>
        <w:rPr>
          <w:rFonts w:ascii="ArialMT" w:hAnsi="ArialMT"/>
          <w:sz w:val="20"/>
          <w:szCs w:val="20"/>
        </w:rPr>
      </w:pPr>
    </w:p>
    <w:p w14:paraId="5068FA83" w14:textId="77777777" w:rsidR="0047565E" w:rsidRDefault="0047565E">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Demolition of in-water or over-water substructure, superstructure, deck and coastal protection components identified on the RFP drawings provided in Part 6 or as required based on the Contractor's design must be performed meeting the permit and environmental control requirements specified above.</w:t>
      </w:r>
    </w:p>
    <w:p w14:paraId="665F4D0D" w14:textId="77777777" w:rsidR="0047565E" w:rsidRDefault="0047565E">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H6020 NON-IN-WATER OR NON-OVER-WATER WATERFRONT DEMOLITION </w:t>
      </w:r>
    </w:p>
    <w:p w14:paraId="711BE747" w14:textId="77777777" w:rsidR="0047565E" w:rsidRDefault="0047565E">
      <w:pPr>
        <w:widowControl w:val="0"/>
        <w:autoSpaceDE w:val="0"/>
        <w:autoSpaceDN w:val="0"/>
        <w:adjustRightInd w:val="0"/>
        <w:spacing w:after="0" w:line="240" w:lineRule="auto"/>
        <w:rPr>
          <w:rFonts w:ascii="ArialMT" w:hAnsi="ArialMT"/>
          <w:sz w:val="20"/>
          <w:szCs w:val="20"/>
        </w:rPr>
      </w:pPr>
    </w:p>
    <w:p w14:paraId="56847CC9" w14:textId="77777777" w:rsidR="0047565E" w:rsidRDefault="0047565E">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For non-in-water or non-over-water waterfront demolition, refer to PTS Section F20, </w:t>
      </w:r>
      <w:r>
        <w:rPr>
          <w:rFonts w:ascii="Courier" w:hAnsi="Courier" w:cs="Courier"/>
          <w:i/>
          <w:iCs/>
          <w:sz w:val="20"/>
          <w:szCs w:val="20"/>
        </w:rPr>
        <w:t>Selective Building Demolition</w:t>
      </w:r>
      <w:r>
        <w:rPr>
          <w:rFonts w:ascii="Courier" w:hAnsi="Courier" w:cs="Courier"/>
          <w:sz w:val="20"/>
          <w:szCs w:val="20"/>
        </w:rPr>
        <w:t xml:space="preserve">. </w:t>
      </w:r>
    </w:p>
    <w:p w14:paraId="33B41DBC" w14:textId="77777777" w:rsidR="0047565E" w:rsidRDefault="0047565E">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H6030 HAZARDOUS COMPONENTS ABATEMENT </w:t>
      </w:r>
    </w:p>
    <w:p w14:paraId="1FE592A9" w14:textId="77777777" w:rsidR="0047565E" w:rsidRDefault="0047565E">
      <w:pPr>
        <w:widowControl w:val="0"/>
        <w:autoSpaceDE w:val="0"/>
        <w:autoSpaceDN w:val="0"/>
        <w:adjustRightInd w:val="0"/>
        <w:spacing w:after="0" w:line="240" w:lineRule="auto"/>
        <w:rPr>
          <w:rFonts w:ascii="ArialMT" w:hAnsi="ArialMT"/>
          <w:sz w:val="20"/>
          <w:szCs w:val="20"/>
        </w:rPr>
      </w:pPr>
    </w:p>
    <w:p w14:paraId="45381D4F" w14:textId="77777777" w:rsidR="0047565E" w:rsidRDefault="0047565E">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Refer to the "Hazardous Components Abatement" paragraph in Section F20, </w:t>
      </w:r>
      <w:r>
        <w:rPr>
          <w:rFonts w:ascii="Courier" w:hAnsi="Courier" w:cs="Courier"/>
          <w:i/>
          <w:iCs/>
          <w:sz w:val="20"/>
          <w:szCs w:val="20"/>
        </w:rPr>
        <w:t>Selective Building Demolition</w:t>
      </w:r>
      <w:r>
        <w:rPr>
          <w:rFonts w:ascii="Courier" w:hAnsi="Courier" w:cs="Courier"/>
          <w:sz w:val="20"/>
          <w:szCs w:val="20"/>
        </w:rPr>
        <w:t>.</w:t>
      </w:r>
    </w:p>
    <w:p w14:paraId="14C93738" w14:textId="77777777" w:rsidR="0047565E" w:rsidRDefault="0047565E">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---End of Section--- </w:t>
      </w:r>
    </w:p>
    <w:sectPr w:rsidR="0047565E">
      <w:headerReference w:type="default" r:id="rId6"/>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3230A" w14:textId="77777777" w:rsidR="00B7551B" w:rsidRDefault="00B7551B">
      <w:pPr>
        <w:spacing w:after="0" w:line="240" w:lineRule="auto"/>
      </w:pPr>
      <w:r>
        <w:separator/>
      </w:r>
    </w:p>
  </w:endnote>
  <w:endnote w:type="continuationSeparator" w:id="0">
    <w:p w14:paraId="50FE93EC" w14:textId="77777777" w:rsidR="00B7551B" w:rsidRDefault="00B75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BFDCF" w14:textId="77777777" w:rsidR="0047565E" w:rsidRDefault="0047565E">
    <w:pPr>
      <w:widowControl w:val="0"/>
      <w:autoSpaceDE w:val="0"/>
      <w:autoSpaceDN w:val="0"/>
      <w:adjustRightInd w:val="0"/>
      <w:spacing w:after="0" w:line="240" w:lineRule="auto"/>
      <w:jc w:val="center"/>
      <w:rPr>
        <w:rFonts w:ascii="Courier" w:hAnsi="Courier" w:cs="Courier"/>
        <w:sz w:val="18"/>
        <w:szCs w:val="18"/>
      </w:rPr>
    </w:pPr>
    <w:r>
      <w:rPr>
        <w:rFonts w:ascii="Courier" w:hAnsi="Courier" w:cs="Courier"/>
        <w:sz w:val="18"/>
        <w:szCs w:val="18"/>
      </w:rPr>
      <w:t xml:space="preserve">PART 4 - SECTION H60 - Page </w:t>
    </w:r>
    <w:r>
      <w:rPr>
        <w:rFonts w:ascii="Courier" w:hAnsi="Courier" w:cs="Courier"/>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90D82" w14:textId="77777777" w:rsidR="00B7551B" w:rsidRDefault="00B7551B">
      <w:pPr>
        <w:spacing w:after="0" w:line="240" w:lineRule="auto"/>
      </w:pPr>
      <w:r>
        <w:separator/>
      </w:r>
    </w:p>
  </w:footnote>
  <w:footnote w:type="continuationSeparator" w:id="0">
    <w:p w14:paraId="388EB83F" w14:textId="77777777" w:rsidR="00B7551B" w:rsidRDefault="00B75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D1E4F" w14:textId="77777777" w:rsidR="0047565E" w:rsidRDefault="0047565E">
    <w:pPr>
      <w:widowControl w:val="0"/>
      <w:tabs>
        <w:tab w:val="right" w:pos="9340"/>
      </w:tabs>
      <w:autoSpaceDE w:val="0"/>
      <w:autoSpaceDN w:val="0"/>
      <w:adjustRightInd w:val="0"/>
      <w:spacing w:after="0" w:line="240" w:lineRule="auto"/>
      <w:rPr>
        <w:rFonts w:ascii="Courier" w:hAnsi="Courier" w:cs="Courier"/>
        <w:sz w:val="18"/>
        <w:szCs w:val="18"/>
      </w:rPr>
    </w:pPr>
    <w:r>
      <w:rPr>
        <w:rFonts w:ascii="Courier" w:hAnsi="Courier" w:cs="Courier"/>
        <w:sz w:val="18"/>
        <w:szCs w:val="18"/>
      </w:rPr>
      <w:t xml:space="preserve">Project Title  </w:t>
    </w:r>
    <w:r>
      <w:rPr>
        <w:rFonts w:ascii="Courier" w:hAnsi="Courier" w:cs="Courier"/>
        <w:sz w:val="18"/>
        <w:szCs w:val="18"/>
      </w:rPr>
      <w:tab/>
      <w:t>Work Order Number</w:t>
    </w:r>
    <w:r>
      <w:rPr>
        <w:rFonts w:ascii="Courier" w:hAnsi="Courier" w:cs="Courier"/>
        <w:sz w:val="18"/>
        <w:szCs w:val="18"/>
      </w:rPr>
      <w:br/>
      <w:t>Project Location, City, State</w:t>
    </w:r>
    <w:r>
      <w:rPr>
        <w:rFonts w:ascii="Courier" w:hAnsi="Courier" w:cs="Courier"/>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136"/>
    <w:rsid w:val="000864A2"/>
    <w:rsid w:val="0047565E"/>
    <w:rsid w:val="00612CD2"/>
    <w:rsid w:val="00B7551B"/>
    <w:rsid w:val="00E27136"/>
    <w:rsid w:val="00EC3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C0AAC3"/>
  <w14:defaultImageDpi w14:val="0"/>
  <w15:docId w15:val="{153545A6-5794-49F8-B151-19573FA4A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2024-06-13T19:39:00Z</dcterms:created>
  <dcterms:modified xsi:type="dcterms:W3CDTF">2024-06-13T19:39:00Z</dcterms:modified>
  <cp:category>Design Build</cp:category>
</cp:coreProperties>
</file>