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D321" w14:textId="77777777" w:rsidR="00C62669" w:rsidRPr="00740EEA" w:rsidRDefault="00B14ED9">
      <w:pPr>
        <w:rPr>
          <w:b/>
        </w:rPr>
      </w:pPr>
      <w:r w:rsidRPr="00740EEA">
        <w:rPr>
          <w:b/>
        </w:rPr>
        <w:t xml:space="preserve">PROCUREMENT OF SECURITY CONTAINERS </w:t>
      </w:r>
      <w:r w:rsidR="00C57B68" w:rsidRPr="00740EEA">
        <w:rPr>
          <w:b/>
        </w:rPr>
        <w:t>(Safes, Weapon Storage Containers, etc.)</w:t>
      </w:r>
    </w:p>
    <w:p w14:paraId="4B7B882E" w14:textId="77777777" w:rsidR="00C57B68" w:rsidRPr="00C57B68" w:rsidRDefault="00C57B68" w:rsidP="00C57B6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5D243BD4" w14:textId="77777777" w:rsidR="000F568B" w:rsidRDefault="00C57B68" w:rsidP="000F568B">
      <w:pPr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</w:rPr>
        <w:t xml:space="preserve">Effective 1 Oct 2019, GSA Global Supply is the </w:t>
      </w:r>
      <w:r w:rsidRPr="00C57B68">
        <w:rPr>
          <w:rFonts w:ascii="Calibri" w:eastAsia="Calibri" w:hAnsi="Calibri" w:cs="Calibri"/>
          <w:b/>
          <w:bCs/>
        </w:rPr>
        <w:t>mandatory source</w:t>
      </w:r>
      <w:r w:rsidRPr="00C57B68">
        <w:rPr>
          <w:rFonts w:ascii="Calibri" w:eastAsia="Calibri" w:hAnsi="Calibri" w:cs="Calibri"/>
        </w:rPr>
        <w:t xml:space="preserve"> for </w:t>
      </w:r>
      <w:r w:rsidR="000F568B">
        <w:rPr>
          <w:rFonts w:ascii="Calibri" w:eastAsia="Calibri" w:hAnsi="Calibri" w:cs="Calibri"/>
        </w:rPr>
        <w:t xml:space="preserve">the </w:t>
      </w:r>
      <w:r w:rsidRPr="00C57B68">
        <w:rPr>
          <w:rFonts w:ascii="Calibri" w:eastAsia="Calibri" w:hAnsi="Calibri" w:cs="Calibri"/>
        </w:rPr>
        <w:t xml:space="preserve">procurement of all </w:t>
      </w:r>
      <w:r w:rsidR="000F568B">
        <w:rPr>
          <w:rFonts w:ascii="Calibri" w:eastAsia="Calibri" w:hAnsi="Calibri" w:cs="Calibri"/>
        </w:rPr>
        <w:t>s</w:t>
      </w:r>
      <w:r w:rsidRPr="00C57B68">
        <w:rPr>
          <w:rFonts w:ascii="Calibri" w:eastAsia="Calibri" w:hAnsi="Calibri" w:cs="Calibri"/>
        </w:rPr>
        <w:t xml:space="preserve">ecure </w:t>
      </w:r>
      <w:r w:rsidR="000F568B">
        <w:rPr>
          <w:rFonts w:ascii="Calibri" w:eastAsia="Calibri" w:hAnsi="Calibri" w:cs="Calibri"/>
        </w:rPr>
        <w:t>c</w:t>
      </w:r>
      <w:r w:rsidRPr="00C57B68">
        <w:rPr>
          <w:rFonts w:ascii="Calibri" w:eastAsia="Calibri" w:hAnsi="Calibri" w:cs="Calibri"/>
        </w:rPr>
        <w:t>ontainers, to include safes.  A .gov or .mil email address is required to place an order for these items.</w:t>
      </w:r>
      <w:r w:rsidR="000F568B" w:rsidRPr="000F568B">
        <w:rPr>
          <w:rFonts w:ascii="Calibri" w:eastAsia="Calibri" w:hAnsi="Calibri" w:cs="Calibri"/>
        </w:rPr>
        <w:t xml:space="preserve"> </w:t>
      </w:r>
      <w:r w:rsidR="000F568B">
        <w:rPr>
          <w:rFonts w:ascii="Calibri" w:eastAsia="Calibri" w:hAnsi="Calibri" w:cs="Calibri"/>
        </w:rPr>
        <w:t xml:space="preserve"> </w:t>
      </w:r>
      <w:r w:rsidR="004C0AAF">
        <w:rPr>
          <w:rFonts w:ascii="Calibri" w:eastAsia="Calibri" w:hAnsi="Calibri" w:cs="Calibri"/>
        </w:rPr>
        <w:t>Security containers are</w:t>
      </w:r>
      <w:r w:rsidR="000F568B" w:rsidRPr="00C57B68">
        <w:rPr>
          <w:rFonts w:ascii="Calibri" w:eastAsia="Calibri" w:hAnsi="Calibri" w:cs="Calibri"/>
        </w:rPr>
        <w:t xml:space="preserve"> no longer </w:t>
      </w:r>
      <w:r w:rsidR="004C0AAF">
        <w:rPr>
          <w:rFonts w:ascii="Calibri" w:eastAsia="Calibri" w:hAnsi="Calibri" w:cs="Calibri"/>
        </w:rPr>
        <w:t xml:space="preserve">procured </w:t>
      </w:r>
      <w:r w:rsidR="000F568B" w:rsidRPr="00C57B68">
        <w:rPr>
          <w:rFonts w:ascii="Calibri" w:eastAsia="Calibri" w:hAnsi="Calibri" w:cs="Calibri"/>
        </w:rPr>
        <w:t>by construction contractor</w:t>
      </w:r>
      <w:r w:rsidR="004C0AAF">
        <w:rPr>
          <w:rFonts w:ascii="Calibri" w:eastAsia="Calibri" w:hAnsi="Calibri" w:cs="Calibri"/>
        </w:rPr>
        <w:t>s</w:t>
      </w:r>
      <w:r w:rsidR="000F568B" w:rsidRPr="00C57B68">
        <w:rPr>
          <w:rFonts w:ascii="Calibri" w:eastAsia="Calibri" w:hAnsi="Calibri" w:cs="Calibri"/>
        </w:rPr>
        <w:t xml:space="preserve"> as part of the </w:t>
      </w:r>
      <w:r w:rsidR="000F568B">
        <w:rPr>
          <w:rFonts w:ascii="Calibri" w:eastAsia="Calibri" w:hAnsi="Calibri" w:cs="Calibri"/>
        </w:rPr>
        <w:t xml:space="preserve">FF&amp;E </w:t>
      </w:r>
      <w:r w:rsidR="000F568B" w:rsidRPr="00C57B68">
        <w:rPr>
          <w:rFonts w:ascii="Calibri" w:eastAsia="Calibri" w:hAnsi="Calibri" w:cs="Calibri"/>
        </w:rPr>
        <w:t>turnkey process.</w:t>
      </w:r>
    </w:p>
    <w:p w14:paraId="52181C2A" w14:textId="77777777" w:rsidR="00C57B68" w:rsidRDefault="00C57B68" w:rsidP="00C57B68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1FD6389" w14:textId="77777777" w:rsidR="00C57B68" w:rsidRDefault="00C57B68" w:rsidP="004C0AAF">
      <w:pPr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</w:rPr>
        <w:t>MILCON projects with initial FF&amp;E outfitting funded by CNIC</w:t>
      </w:r>
      <w:r>
        <w:rPr>
          <w:rFonts w:ascii="Calibri" w:eastAsia="Calibri" w:hAnsi="Calibri" w:cs="Calibri"/>
        </w:rPr>
        <w:t>:</w:t>
      </w:r>
      <w:r w:rsidRPr="00C57B68">
        <w:rPr>
          <w:rFonts w:ascii="Calibri" w:eastAsia="Calibri" w:hAnsi="Calibri" w:cs="Calibri"/>
        </w:rPr>
        <w:t xml:space="preserve">  CNIC will </w:t>
      </w:r>
      <w:r w:rsidR="004C0AAF">
        <w:rPr>
          <w:rFonts w:ascii="Calibri" w:eastAsia="Calibri" w:hAnsi="Calibri" w:cs="Calibri"/>
        </w:rPr>
        <w:t xml:space="preserve">provide OMN </w:t>
      </w:r>
      <w:r w:rsidRPr="00C57B68">
        <w:rPr>
          <w:rFonts w:ascii="Calibri" w:eastAsia="Calibri" w:hAnsi="Calibri" w:cs="Calibri"/>
        </w:rPr>
        <w:t>fund</w:t>
      </w:r>
      <w:r w:rsidR="004C0AAF">
        <w:rPr>
          <w:rFonts w:ascii="Calibri" w:eastAsia="Calibri" w:hAnsi="Calibri" w:cs="Calibri"/>
        </w:rPr>
        <w:t>s</w:t>
      </w:r>
      <w:r w:rsidRPr="00C57B68">
        <w:rPr>
          <w:rFonts w:ascii="Calibri" w:eastAsia="Calibri" w:hAnsi="Calibri" w:cs="Calibri"/>
        </w:rPr>
        <w:t xml:space="preserve"> </w:t>
      </w:r>
      <w:r w:rsidR="004C0AAF">
        <w:rPr>
          <w:rFonts w:ascii="Calibri" w:eastAsia="Calibri" w:hAnsi="Calibri" w:cs="Calibri"/>
        </w:rPr>
        <w:t xml:space="preserve">for </w:t>
      </w:r>
      <w:r w:rsidRPr="00C57B68">
        <w:rPr>
          <w:rFonts w:ascii="Calibri" w:eastAsia="Calibri" w:hAnsi="Calibri" w:cs="Calibri"/>
        </w:rPr>
        <w:t xml:space="preserve">the purchase of </w:t>
      </w:r>
      <w:r w:rsidR="000F568B">
        <w:rPr>
          <w:rFonts w:ascii="Calibri" w:eastAsia="Calibri" w:hAnsi="Calibri" w:cs="Calibri"/>
        </w:rPr>
        <w:t>movable</w:t>
      </w:r>
      <w:r w:rsidR="004C0AAF" w:rsidRPr="004C0AAF">
        <w:t xml:space="preserve"> </w:t>
      </w:r>
      <w:r w:rsidR="004C0AAF" w:rsidRPr="004C0AAF">
        <w:rPr>
          <w:rFonts w:ascii="Calibri" w:eastAsia="Calibri" w:hAnsi="Calibri" w:cs="Calibri"/>
        </w:rPr>
        <w:t>security containers</w:t>
      </w:r>
      <w:r w:rsidR="004C0AAF">
        <w:rPr>
          <w:rFonts w:ascii="Calibri" w:eastAsia="Calibri" w:hAnsi="Calibri" w:cs="Calibri"/>
        </w:rPr>
        <w:t xml:space="preserve"> </w:t>
      </w:r>
      <w:r w:rsidRPr="00C57B68">
        <w:rPr>
          <w:rFonts w:ascii="Calibri" w:eastAsia="Calibri" w:hAnsi="Calibri" w:cs="Calibri"/>
        </w:rPr>
        <w:t xml:space="preserve">via </w:t>
      </w:r>
      <w:r w:rsidR="004C0AAF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Budget Submitting Office (</w:t>
      </w:r>
      <w:r w:rsidRPr="00C57B68">
        <w:rPr>
          <w:rFonts w:ascii="Calibri" w:eastAsia="Calibri" w:hAnsi="Calibri" w:cs="Calibri"/>
        </w:rPr>
        <w:t>BSO</w:t>
      </w:r>
      <w:r>
        <w:rPr>
          <w:rFonts w:ascii="Calibri" w:eastAsia="Calibri" w:hAnsi="Calibri" w:cs="Calibri"/>
        </w:rPr>
        <w:t>)</w:t>
      </w:r>
      <w:r w:rsidRPr="00C57B68">
        <w:rPr>
          <w:rFonts w:ascii="Calibri" w:eastAsia="Calibri" w:hAnsi="Calibri" w:cs="Calibri"/>
        </w:rPr>
        <w:t xml:space="preserve"> to BSO Execution Transfer</w:t>
      </w:r>
      <w:r w:rsidR="00565D0B">
        <w:rPr>
          <w:rFonts w:ascii="Calibri" w:eastAsia="Calibri" w:hAnsi="Calibri" w:cs="Calibri"/>
        </w:rPr>
        <w:t xml:space="preserve"> (i.e. CNIC to NAVAIR)</w:t>
      </w:r>
      <w:r>
        <w:rPr>
          <w:rFonts w:ascii="Calibri" w:eastAsia="Calibri" w:hAnsi="Calibri" w:cs="Calibri"/>
        </w:rPr>
        <w:t>.</w:t>
      </w:r>
      <w:r w:rsidRPr="00C57B6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565D0B" w:rsidRPr="00C57B68">
        <w:rPr>
          <w:rFonts w:ascii="Calibri" w:eastAsia="Calibri" w:hAnsi="Calibri" w:cs="Calibri"/>
        </w:rPr>
        <w:t>CNIC will initiate the BSO transfer doc</w:t>
      </w:r>
      <w:r w:rsidR="00565D0B">
        <w:rPr>
          <w:rFonts w:ascii="Calibri" w:eastAsia="Calibri" w:hAnsi="Calibri" w:cs="Calibri"/>
        </w:rPr>
        <w:t>ument</w:t>
      </w:r>
      <w:r w:rsidR="00565D0B" w:rsidRPr="00C57B68">
        <w:rPr>
          <w:rFonts w:ascii="Calibri" w:eastAsia="Calibri" w:hAnsi="Calibri" w:cs="Calibri"/>
        </w:rPr>
        <w:t xml:space="preserve"> (sample attached)</w:t>
      </w:r>
      <w:r w:rsidR="00565D0B">
        <w:rPr>
          <w:rFonts w:ascii="Calibri" w:eastAsia="Calibri" w:hAnsi="Calibri" w:cs="Calibri"/>
        </w:rPr>
        <w:t xml:space="preserve">.  Once the transfer is complete, the </w:t>
      </w:r>
      <w:r w:rsidR="00A06FC6">
        <w:rPr>
          <w:rFonts w:ascii="Calibri" w:eastAsia="Calibri" w:hAnsi="Calibri" w:cs="Calibri"/>
        </w:rPr>
        <w:t>customer</w:t>
      </w:r>
      <w:r w:rsidR="004C0AAF">
        <w:rPr>
          <w:rFonts w:ascii="Calibri" w:eastAsia="Calibri" w:hAnsi="Calibri" w:cs="Calibri"/>
        </w:rPr>
        <w:t xml:space="preserve"> must obtain these</w:t>
      </w:r>
      <w:r w:rsidR="00565D0B">
        <w:rPr>
          <w:rFonts w:ascii="Calibri" w:eastAsia="Calibri" w:hAnsi="Calibri" w:cs="Calibri"/>
        </w:rPr>
        <w:t xml:space="preserve"> funds from their BSO and </w:t>
      </w:r>
      <w:r w:rsidR="004C0AAF">
        <w:rPr>
          <w:rFonts w:ascii="Calibri" w:eastAsia="Calibri" w:hAnsi="Calibri" w:cs="Calibri"/>
        </w:rPr>
        <w:t>be</w:t>
      </w:r>
      <w:r w:rsidRPr="00C57B68">
        <w:rPr>
          <w:rFonts w:ascii="Calibri" w:eastAsia="Calibri" w:hAnsi="Calibri" w:cs="Calibri"/>
        </w:rPr>
        <w:t xml:space="preserve"> responsible for procuring the </w:t>
      </w:r>
      <w:r w:rsidR="004C0AAF">
        <w:rPr>
          <w:rFonts w:ascii="Calibri" w:eastAsia="Calibri" w:hAnsi="Calibri" w:cs="Calibri"/>
        </w:rPr>
        <w:t xml:space="preserve">security containers </w:t>
      </w:r>
      <w:r w:rsidRPr="00C57B68">
        <w:rPr>
          <w:rFonts w:ascii="Calibri" w:eastAsia="Calibri" w:hAnsi="Calibri" w:cs="Calibri"/>
        </w:rPr>
        <w:t xml:space="preserve">as </w:t>
      </w:r>
      <w:r w:rsidRPr="00C57B68">
        <w:rPr>
          <w:rFonts w:ascii="Calibri" w:eastAsia="Calibri" w:hAnsi="Calibri" w:cs="Calibri"/>
          <w:b/>
        </w:rPr>
        <w:t xml:space="preserve">GFGI </w:t>
      </w:r>
      <w:r w:rsidRPr="00C57B68">
        <w:rPr>
          <w:rFonts w:ascii="Calibri" w:eastAsia="Calibri" w:hAnsi="Calibri" w:cs="Calibri"/>
        </w:rPr>
        <w:t xml:space="preserve">equipment. </w:t>
      </w:r>
    </w:p>
    <w:p w14:paraId="70E01DF0" w14:textId="77777777" w:rsidR="000F568B" w:rsidRDefault="000F568B" w:rsidP="004C0AAF">
      <w:pPr>
        <w:pStyle w:val="ListParagraph"/>
        <w:ind w:left="360"/>
        <w:rPr>
          <w:rFonts w:ascii="Calibri" w:eastAsia="Calibri" w:hAnsi="Calibri" w:cs="Calibri"/>
        </w:rPr>
      </w:pPr>
    </w:p>
    <w:p w14:paraId="60E96F9B" w14:textId="77777777" w:rsidR="000F568B" w:rsidRPr="000F568B" w:rsidRDefault="000F568B" w:rsidP="000F568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0F568B">
        <w:rPr>
          <w:rFonts w:ascii="Calibri" w:eastAsia="Calibri" w:hAnsi="Calibri" w:cs="Calibri"/>
        </w:rPr>
        <w:t xml:space="preserve">Include the </w:t>
      </w:r>
      <w:r>
        <w:rPr>
          <w:rFonts w:ascii="Calibri" w:eastAsia="Calibri" w:hAnsi="Calibri" w:cs="Calibri"/>
        </w:rPr>
        <w:t>secur</w:t>
      </w:r>
      <w:r w:rsidR="00740EEA"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</w:rPr>
        <w:t>containers</w:t>
      </w:r>
      <w:r w:rsidRPr="000F568B">
        <w:rPr>
          <w:rFonts w:ascii="Calibri" w:eastAsia="Calibri" w:hAnsi="Calibri" w:cs="Calibri"/>
        </w:rPr>
        <w:t xml:space="preserve"> as part of </w:t>
      </w:r>
      <w:r w:rsidRPr="00A06FC6">
        <w:rPr>
          <w:rFonts w:ascii="Calibri" w:eastAsia="Calibri" w:hAnsi="Calibri" w:cs="Calibri"/>
        </w:rPr>
        <w:t>the coordinated FF&amp;E effort, but develop a separate Secur</w:t>
      </w:r>
      <w:r w:rsidR="004C0AAF">
        <w:rPr>
          <w:rFonts w:ascii="Calibri" w:eastAsia="Calibri" w:hAnsi="Calibri" w:cs="Calibri"/>
        </w:rPr>
        <w:t>ity</w:t>
      </w:r>
      <w:r w:rsidRPr="00A06FC6">
        <w:rPr>
          <w:rFonts w:ascii="Calibri" w:eastAsia="Calibri" w:hAnsi="Calibri" w:cs="Calibri"/>
        </w:rPr>
        <w:t xml:space="preserve"> Containers Package for </w:t>
      </w:r>
      <w:r w:rsidR="00651631" w:rsidRPr="00A06FC6">
        <w:rPr>
          <w:rFonts w:ascii="Calibri" w:eastAsia="Calibri" w:hAnsi="Calibri" w:cs="Calibri"/>
        </w:rPr>
        <w:t xml:space="preserve">customer use.  </w:t>
      </w:r>
      <w:r w:rsidR="00651631" w:rsidRPr="00A06FC6">
        <w:t xml:space="preserve">Identify </w:t>
      </w:r>
      <w:r w:rsidR="004C0AAF">
        <w:t xml:space="preserve">security containers </w:t>
      </w:r>
      <w:r w:rsidR="00651631" w:rsidRPr="00A06FC6">
        <w:t xml:space="preserve">in existing facility(s) available for reuse in the new facility(s) and/or redistributed </w:t>
      </w:r>
      <w:r w:rsidR="00A06FC6" w:rsidRPr="00A06FC6">
        <w:t xml:space="preserve">to DRMO.  </w:t>
      </w:r>
      <w:r w:rsidRPr="00A06FC6">
        <w:rPr>
          <w:rFonts w:ascii="Calibri" w:eastAsia="Calibri" w:hAnsi="Calibri" w:cs="Calibri"/>
        </w:rPr>
        <w:t xml:space="preserve">Do </w:t>
      </w:r>
      <w:r w:rsidRPr="000F568B">
        <w:rPr>
          <w:rFonts w:ascii="Calibri" w:eastAsia="Calibri" w:hAnsi="Calibri" w:cs="Calibri"/>
        </w:rPr>
        <w:t xml:space="preserve">not BVD the </w:t>
      </w:r>
      <w:r w:rsidR="004C0AAF">
        <w:rPr>
          <w:rFonts w:ascii="Calibri" w:eastAsia="Calibri" w:hAnsi="Calibri" w:cs="Calibri"/>
        </w:rPr>
        <w:t xml:space="preserve">Security Containers </w:t>
      </w:r>
      <w:r w:rsidR="00651631">
        <w:rPr>
          <w:rFonts w:ascii="Calibri" w:eastAsia="Calibri" w:hAnsi="Calibri" w:cs="Calibri"/>
        </w:rPr>
        <w:t>P</w:t>
      </w:r>
      <w:r w:rsidR="00651631" w:rsidRPr="000F568B">
        <w:rPr>
          <w:rFonts w:ascii="Calibri" w:eastAsia="Calibri" w:hAnsi="Calibri" w:cs="Calibri"/>
        </w:rPr>
        <w:t xml:space="preserve">ackage </w:t>
      </w:r>
      <w:r w:rsidRPr="000F568B">
        <w:rPr>
          <w:rFonts w:ascii="Calibri" w:eastAsia="Calibri" w:hAnsi="Calibri" w:cs="Calibri"/>
        </w:rPr>
        <w:t xml:space="preserve">as that function will occur during procurement by GSA Global Supply. </w:t>
      </w:r>
      <w:r w:rsidR="00651631">
        <w:rPr>
          <w:rFonts w:ascii="Calibri" w:eastAsia="Calibri" w:hAnsi="Calibri" w:cs="Calibri"/>
        </w:rPr>
        <w:t xml:space="preserve">Do not include HAR and SIOH for the </w:t>
      </w:r>
      <w:r w:rsidR="004C0AAF">
        <w:rPr>
          <w:rFonts w:ascii="Calibri" w:eastAsia="Calibri" w:hAnsi="Calibri" w:cs="Calibri"/>
        </w:rPr>
        <w:t xml:space="preserve">security containers </w:t>
      </w:r>
      <w:r w:rsidR="00651631">
        <w:rPr>
          <w:rFonts w:ascii="Calibri" w:eastAsia="Calibri" w:hAnsi="Calibri" w:cs="Calibri"/>
        </w:rPr>
        <w:t>since these are GFGI items.</w:t>
      </w:r>
    </w:p>
    <w:p w14:paraId="766B81F8" w14:textId="77777777" w:rsidR="00565D0B" w:rsidRDefault="00565D0B" w:rsidP="00565D0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1566002E" w14:textId="77777777" w:rsidR="000F568B" w:rsidRDefault="00651631" w:rsidP="000F568B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</w:t>
      </w:r>
      <w:r w:rsidR="004C0AAF"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</w:rPr>
        <w:t xml:space="preserve"> Containers Package to </w:t>
      </w:r>
      <w:r w:rsidR="00565D0B">
        <w:rPr>
          <w:rFonts w:ascii="Calibri" w:eastAsia="Calibri" w:hAnsi="Calibri" w:cs="Calibri"/>
        </w:rPr>
        <w:t>include</w:t>
      </w:r>
      <w:r w:rsidR="000F568B">
        <w:rPr>
          <w:rFonts w:ascii="Calibri" w:eastAsia="Calibri" w:hAnsi="Calibri" w:cs="Calibri"/>
        </w:rPr>
        <w:t>:</w:t>
      </w:r>
      <w:r w:rsidR="00565D0B">
        <w:rPr>
          <w:rFonts w:ascii="Calibri" w:eastAsia="Calibri" w:hAnsi="Calibri" w:cs="Calibri"/>
        </w:rPr>
        <w:t xml:space="preserve"> </w:t>
      </w:r>
    </w:p>
    <w:p w14:paraId="0521AC92" w14:textId="77777777" w:rsidR="000F568B" w:rsidRPr="000F568B" w:rsidRDefault="00565D0B" w:rsidP="000F568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F568B">
        <w:rPr>
          <w:rFonts w:ascii="Calibri" w:eastAsia="Calibri" w:hAnsi="Calibri" w:cs="Calibri"/>
        </w:rPr>
        <w:t xml:space="preserve">Final Cost Summary </w:t>
      </w:r>
    </w:p>
    <w:p w14:paraId="77E617EE" w14:textId="77777777" w:rsidR="000F568B" w:rsidRDefault="00565D0B" w:rsidP="000F568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Procurement Data Sheets </w:t>
      </w:r>
      <w:r w:rsidR="00A06FC6">
        <w:rPr>
          <w:rFonts w:ascii="Calibri" w:eastAsia="Calibri" w:hAnsi="Calibri" w:cs="Calibri"/>
        </w:rPr>
        <w:t>(include NSN)</w:t>
      </w:r>
      <w:r>
        <w:rPr>
          <w:rFonts w:ascii="Calibri" w:eastAsia="Calibri" w:hAnsi="Calibri" w:cs="Calibri"/>
        </w:rPr>
        <w:t xml:space="preserve"> </w:t>
      </w:r>
    </w:p>
    <w:p w14:paraId="5130FCD2" w14:textId="77777777" w:rsidR="000F568B" w:rsidRDefault="000F568B" w:rsidP="000F568B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565D0B">
        <w:rPr>
          <w:rFonts w:ascii="Calibri" w:eastAsia="Calibri" w:hAnsi="Calibri" w:cs="Calibri"/>
        </w:rPr>
        <w:t xml:space="preserve">eyed Furniture Plan.  </w:t>
      </w:r>
    </w:p>
    <w:p w14:paraId="5F5FEBC3" w14:textId="77777777" w:rsidR="00B772E7" w:rsidRDefault="00B772E7" w:rsidP="00B772E7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DE4921F" w14:textId="77777777" w:rsidR="00B772E7" w:rsidRPr="00B772E7" w:rsidRDefault="00B772E7" w:rsidP="00B772E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9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BSO transfer process</w:t>
      </w:r>
      <w:r w:rsidRPr="00B772E7">
        <w:rPr>
          <w:rFonts w:ascii="Calibri" w:eastAsia="Calibri" w:hAnsi="Calibri" w:cs="Calibri"/>
        </w:rPr>
        <w:t xml:space="preserve"> verified by N8 Policy</w:t>
      </w:r>
      <w:r>
        <w:rPr>
          <w:rFonts w:ascii="Calibri" w:eastAsia="Calibri" w:hAnsi="Calibri" w:cs="Calibri"/>
        </w:rPr>
        <w:t>:</w:t>
      </w:r>
      <w:r w:rsidRPr="00B772E7">
        <w:rPr>
          <w:rFonts w:ascii="Calibri" w:eastAsia="Calibri" w:hAnsi="Calibri" w:cs="Calibri"/>
        </w:rPr>
        <w:t xml:space="preserve"> </w:t>
      </w:r>
    </w:p>
    <w:p w14:paraId="44C699E2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 xml:space="preserve">Receiving BSO </w:t>
      </w:r>
      <w:r>
        <w:rPr>
          <w:rFonts w:ascii="Calibri" w:eastAsia="Calibri" w:hAnsi="Calibri" w:cs="Calibri"/>
        </w:rPr>
        <w:t>populates BSO transfer form</w:t>
      </w:r>
      <w:r w:rsidRPr="00B772E7">
        <w:rPr>
          <w:rFonts w:ascii="Calibri" w:eastAsia="Calibri" w:hAnsi="Calibri" w:cs="Calibri"/>
        </w:rPr>
        <w:t xml:space="preserve"> and return</w:t>
      </w:r>
      <w:r>
        <w:rPr>
          <w:rFonts w:ascii="Calibri" w:eastAsia="Calibri" w:hAnsi="Calibri" w:cs="Calibri"/>
        </w:rPr>
        <w:t>s it</w:t>
      </w:r>
      <w:r w:rsidRPr="00B772E7">
        <w:rPr>
          <w:rFonts w:ascii="Calibri" w:eastAsia="Calibri" w:hAnsi="Calibri" w:cs="Calibri"/>
        </w:rPr>
        <w:t xml:space="preserve"> to LANT/PAC FQ managers and CNIC N431FQ HPD for review and validation. </w:t>
      </w:r>
    </w:p>
    <w:p w14:paraId="120A5F3A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>Upon validation, PDF version will be returned to receiving BSO for signature and return</w:t>
      </w:r>
      <w:r>
        <w:rPr>
          <w:rFonts w:ascii="Calibri" w:eastAsia="Calibri" w:hAnsi="Calibri" w:cs="Calibri"/>
        </w:rPr>
        <w:t>ed</w:t>
      </w:r>
      <w:r w:rsidRPr="00B772E7">
        <w:rPr>
          <w:rFonts w:ascii="Calibri" w:eastAsia="Calibri" w:hAnsi="Calibri" w:cs="Calibri"/>
        </w:rPr>
        <w:t xml:space="preserve"> to CNIC N431 FQ HPD. </w:t>
      </w:r>
    </w:p>
    <w:p w14:paraId="32F3EBAB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>Receiving BSO signed form will be forwarded to N8 for review, losing BSO signature and processing.</w:t>
      </w:r>
    </w:p>
    <w:p w14:paraId="52A4D06B" w14:textId="77777777" w:rsidR="00B772E7" w:rsidRPr="00B772E7" w:rsidRDefault="00B772E7" w:rsidP="00B772E7">
      <w:pPr>
        <w:pStyle w:val="ListParagraph"/>
        <w:numPr>
          <w:ilvl w:val="0"/>
          <w:numId w:val="8"/>
        </w:numPr>
        <w:spacing w:after="0" w:line="240" w:lineRule="auto"/>
        <w:ind w:right="-360"/>
        <w:rPr>
          <w:rFonts w:ascii="Calibri" w:eastAsia="Calibri" w:hAnsi="Calibri" w:cs="Calibri"/>
        </w:rPr>
      </w:pPr>
      <w:r w:rsidRPr="00B772E7">
        <w:rPr>
          <w:rFonts w:ascii="Calibri" w:eastAsia="Calibri" w:hAnsi="Calibri" w:cs="Calibri"/>
        </w:rPr>
        <w:t>Upon receipt of PBIS transfer, CNIC N431 FQ HPD will send cop</w:t>
      </w:r>
      <w:r>
        <w:rPr>
          <w:rFonts w:ascii="Calibri" w:eastAsia="Calibri" w:hAnsi="Calibri" w:cs="Calibri"/>
        </w:rPr>
        <w:t>ies of signed and transfer form</w:t>
      </w:r>
      <w:r w:rsidRPr="00B772E7">
        <w:rPr>
          <w:rFonts w:ascii="Calibri" w:eastAsia="Calibri" w:hAnsi="Calibri" w:cs="Calibri"/>
        </w:rPr>
        <w:t>.</w:t>
      </w:r>
    </w:p>
    <w:p w14:paraId="17DC75C9" w14:textId="77777777" w:rsidR="00C57B68" w:rsidRDefault="00C57B68" w:rsidP="000F568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7F9F5C7C" w14:textId="77777777" w:rsidR="004C0AAF" w:rsidRDefault="00996FA3" w:rsidP="004C0AAF">
      <w:pPr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4C0AAF" w:rsidRPr="004C0AAF">
        <w:rPr>
          <w:rFonts w:ascii="Calibri" w:eastAsia="Calibri" w:hAnsi="Calibri" w:cs="Calibri"/>
        </w:rPr>
        <w:tab/>
      </w:r>
      <w:r w:rsidR="004C0AAF">
        <w:rPr>
          <w:rFonts w:ascii="Calibri" w:eastAsia="Calibri" w:hAnsi="Calibri" w:cs="Calibri"/>
        </w:rPr>
        <w:t xml:space="preserve">Provide the following documents to the CNIC CEQ Mgr. </w:t>
      </w:r>
    </w:p>
    <w:p w14:paraId="1FABF14B" w14:textId="77777777" w:rsidR="00B772E7" w:rsidRDefault="00B772E7" w:rsidP="004C0AAF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2254819F" w14:textId="77777777" w:rsidR="004C0AAF" w:rsidRDefault="004C0AAF" w:rsidP="004C0AAF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NAVFACSYSCOM Atlantic – </w:t>
      </w:r>
      <w:r w:rsidR="00A5668F">
        <w:rPr>
          <w:rFonts w:ascii="Calibri" w:eastAsia="Calibri" w:hAnsi="Calibri" w:cs="Calibri"/>
        </w:rPr>
        <w:t xml:space="preserve">Margaret (Peggy) Noland  </w:t>
      </w:r>
      <w:hyperlink r:id="rId7" w:history="1">
        <w:r w:rsidR="00B772E7" w:rsidRPr="001D487C">
          <w:rPr>
            <w:rStyle w:val="Hyperlink"/>
            <w:rFonts w:ascii="Calibri" w:eastAsia="Calibri" w:hAnsi="Calibri" w:cs="Calibri"/>
          </w:rPr>
          <w:t>margaret.m.noland.civ@us.navy.mil</w:t>
        </w:r>
      </w:hyperlink>
      <w:r>
        <w:rPr>
          <w:rFonts w:ascii="Calibri" w:eastAsia="Calibri" w:hAnsi="Calibri" w:cs="Calibri"/>
        </w:rPr>
        <w:t xml:space="preserve"> or </w:t>
      </w:r>
    </w:p>
    <w:p w14:paraId="1EFD6D28" w14:textId="77777777" w:rsidR="000F568B" w:rsidRDefault="004C0AAF" w:rsidP="004C0AAF">
      <w:pPr>
        <w:spacing w:after="0" w:line="240" w:lineRule="auto"/>
        <w:ind w:left="360"/>
      </w:pPr>
      <w:r w:rsidRPr="004C0AAF">
        <w:rPr>
          <w:rFonts w:ascii="Calibri" w:eastAsia="Calibri" w:hAnsi="Calibri" w:cs="Calibri"/>
        </w:rPr>
        <w:t>NAVFACSYSCOM</w:t>
      </w:r>
      <w:r>
        <w:rPr>
          <w:rFonts w:ascii="Calibri" w:eastAsia="Calibri" w:hAnsi="Calibri" w:cs="Calibri"/>
        </w:rPr>
        <w:t xml:space="preserve"> Pacific </w:t>
      </w:r>
      <w:r w:rsidR="00A5668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A5668F">
        <w:rPr>
          <w:rFonts w:ascii="Calibri" w:eastAsia="Calibri" w:hAnsi="Calibri" w:cs="Calibri"/>
        </w:rPr>
        <w:t xml:space="preserve">Mitch Pascua  </w:t>
      </w:r>
      <w:hyperlink r:id="rId8" w:history="1">
        <w:r w:rsidR="00B772E7" w:rsidRPr="001D487C">
          <w:rPr>
            <w:rStyle w:val="Hyperlink"/>
          </w:rPr>
          <w:t>mitchell.g.pascua.civ@us.navy.mil</w:t>
        </w:r>
      </w:hyperlink>
    </w:p>
    <w:p w14:paraId="7B515A70" w14:textId="77777777" w:rsidR="004C0AAF" w:rsidRPr="00C57B68" w:rsidRDefault="004C0AAF" w:rsidP="004C0AAF">
      <w:pPr>
        <w:spacing w:after="0" w:line="240" w:lineRule="auto"/>
        <w:ind w:left="360" w:hanging="360"/>
        <w:rPr>
          <w:rFonts w:ascii="Calibri" w:eastAsia="Calibri" w:hAnsi="Calibri" w:cs="Calibri"/>
        </w:rPr>
      </w:pPr>
    </w:p>
    <w:p w14:paraId="7B0782C1" w14:textId="77777777" w:rsidR="00C57B68" w:rsidRP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eTracker FRs</w:t>
      </w:r>
      <w:r w:rsidRPr="00C57B68">
        <w:rPr>
          <w:rFonts w:ascii="Calibri" w:eastAsia="Calibri" w:hAnsi="Calibri" w:cs="Calibri"/>
        </w:rPr>
        <w:t xml:space="preserve">, provided by the PM/PA </w:t>
      </w:r>
    </w:p>
    <w:p w14:paraId="6A3020EB" w14:textId="77777777" w:rsidR="00C57B68" w:rsidRP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Final FF&amp;E Cost Summar</w:t>
      </w:r>
      <w:r w:rsidR="00740EEA">
        <w:rPr>
          <w:rFonts w:ascii="Calibri" w:eastAsia="Calibri" w:hAnsi="Calibri" w:cs="Calibri"/>
          <w:b/>
          <w:bCs/>
        </w:rPr>
        <w:t>y</w:t>
      </w:r>
      <w:r w:rsidRPr="00C57B68">
        <w:rPr>
          <w:rFonts w:ascii="Calibri" w:eastAsia="Calibri" w:hAnsi="Calibri" w:cs="Calibri"/>
        </w:rPr>
        <w:t xml:space="preserve">, provided by </w:t>
      </w:r>
      <w:r w:rsidR="004C0AAF">
        <w:rPr>
          <w:rFonts w:ascii="Calibri" w:eastAsia="Calibri" w:hAnsi="Calibri" w:cs="Calibri"/>
        </w:rPr>
        <w:t xml:space="preserve">the </w:t>
      </w:r>
      <w:r w:rsidRPr="00C57B68">
        <w:rPr>
          <w:rFonts w:ascii="Calibri" w:eastAsia="Calibri" w:hAnsi="Calibri" w:cs="Calibri"/>
        </w:rPr>
        <w:t xml:space="preserve">ID </w:t>
      </w:r>
    </w:p>
    <w:p w14:paraId="536BCC7C" w14:textId="77777777" w:rsidR="00C57B68" w:rsidRDefault="00C57B68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C57B68">
        <w:rPr>
          <w:rFonts w:ascii="Calibri" w:eastAsia="Calibri" w:hAnsi="Calibri" w:cs="Calibri"/>
          <w:b/>
          <w:bCs/>
        </w:rPr>
        <w:t>CNIC Scope of Work</w:t>
      </w:r>
      <w:r w:rsidRPr="00C57B68">
        <w:rPr>
          <w:rFonts w:ascii="Calibri" w:eastAsia="Calibri" w:hAnsi="Calibri" w:cs="Calibri"/>
        </w:rPr>
        <w:t xml:space="preserve">, provided by the PM/ID </w:t>
      </w:r>
    </w:p>
    <w:p w14:paraId="74E4D807" w14:textId="63CB4F76" w:rsidR="007E6D61" w:rsidRPr="007E6D61" w:rsidRDefault="007E6D61" w:rsidP="00C57B68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7E6D61">
        <w:rPr>
          <w:rFonts w:ascii="Calibri" w:hAnsi="Calibri" w:cs="Calibri"/>
          <w:b/>
          <w:bCs/>
          <w:color w:val="242424"/>
          <w:shd w:val="clear" w:color="auto" w:fill="FFFFFF"/>
        </w:rPr>
        <w:t>POC </w:t>
      </w:r>
      <w:r w:rsidRPr="007E6D61"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for the Gaining BSO </w:t>
      </w:r>
      <w:r w:rsidRPr="007E6D61">
        <w:rPr>
          <w:rFonts w:ascii="Calibri" w:hAnsi="Calibri" w:cs="Calibri"/>
          <w:b/>
          <w:bCs/>
          <w:color w:val="242424"/>
          <w:shd w:val="clear" w:color="auto" w:fill="FFFFFF"/>
        </w:rPr>
        <w:t>Program Action Office (PAO) 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>for the BSO Execution Transfer</w:t>
      </w:r>
      <w:r w:rsidRPr="007E6D61">
        <w:rPr>
          <w:rFonts w:ascii="Calibri" w:hAnsi="Calibri" w:cs="Calibri"/>
          <w:color w:val="242424"/>
          <w:shd w:val="clear" w:color="auto" w:fill="FFFFFF"/>
        </w:rPr>
        <w:t>, provided by the PM</w:t>
      </w:r>
    </w:p>
    <w:p w14:paraId="69908736" w14:textId="77777777" w:rsidR="00C57B68" w:rsidRPr="00C57B68" w:rsidRDefault="00C57B68" w:rsidP="00C57B68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8A01E79" w14:textId="77777777" w:rsidR="00C57B68" w:rsidRDefault="00996FA3" w:rsidP="00996FA3">
      <w:pPr>
        <w:pStyle w:val="ListParagraph"/>
        <w:spacing w:after="0" w:line="240" w:lineRule="auto"/>
        <w:ind w:left="45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  </w:t>
      </w:r>
      <w:r w:rsidR="00C57B68" w:rsidRPr="004C0AAF">
        <w:rPr>
          <w:rFonts w:ascii="Calibri" w:eastAsia="Calibri" w:hAnsi="Calibri" w:cs="Calibri"/>
        </w:rPr>
        <w:t xml:space="preserve">For Non-MILCON projects, the </w:t>
      </w:r>
      <w:r w:rsidR="004C0AAF">
        <w:rPr>
          <w:rFonts w:ascii="Calibri" w:eastAsia="Calibri" w:hAnsi="Calibri" w:cs="Calibri"/>
        </w:rPr>
        <w:t>customer must provide funding for</w:t>
      </w:r>
      <w:r w:rsidR="00C57B68" w:rsidRPr="004C0AAF">
        <w:rPr>
          <w:rFonts w:ascii="Calibri" w:eastAsia="Calibri" w:hAnsi="Calibri" w:cs="Calibri"/>
        </w:rPr>
        <w:t xml:space="preserve"> the </w:t>
      </w:r>
      <w:r w:rsidR="004C0AAF">
        <w:rPr>
          <w:rFonts w:ascii="Calibri" w:eastAsia="Calibri" w:hAnsi="Calibri" w:cs="Calibri"/>
        </w:rPr>
        <w:t>security containers.</w:t>
      </w:r>
    </w:p>
    <w:p w14:paraId="61BDEB76" w14:textId="77777777" w:rsidR="004C0AAF" w:rsidRDefault="004C0AAF" w:rsidP="004C0AAF">
      <w:pPr>
        <w:pStyle w:val="ListParagraph"/>
        <w:spacing w:after="0" w:line="240" w:lineRule="auto"/>
        <w:ind w:left="360"/>
        <w:rPr>
          <w:rFonts w:ascii="Calibri" w:eastAsia="Calibri" w:hAnsi="Calibri" w:cs="Calibri"/>
        </w:rPr>
      </w:pPr>
    </w:p>
    <w:p w14:paraId="4DFEF019" w14:textId="77777777" w:rsidR="00C57B68" w:rsidRDefault="004C0AAF" w:rsidP="00996FA3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996FA3">
        <w:rPr>
          <w:rFonts w:ascii="Calibri" w:eastAsia="Calibri" w:hAnsi="Calibri" w:cs="Calibri"/>
        </w:rPr>
        <w:t>For additional information:</w:t>
      </w:r>
    </w:p>
    <w:p w14:paraId="484DCDF1" w14:textId="77777777" w:rsidR="004C0AAF" w:rsidRDefault="00000000" w:rsidP="00C57B68">
      <w:pPr>
        <w:ind w:left="360"/>
        <w:rPr>
          <w:rStyle w:val="Hyperlink"/>
        </w:rPr>
      </w:pPr>
      <w:hyperlink r:id="rId9" w:history="1">
        <w:r w:rsidR="004C0AAF" w:rsidRPr="00BC57CC">
          <w:rPr>
            <w:rStyle w:val="Hyperlink"/>
          </w:rPr>
          <w:t>https://www.gsa.gov/buying-selling/purchasing-programs/requisition-programs/gsa-global-supply/national-stock-numbers/security-containers</w:t>
        </w:r>
      </w:hyperlink>
    </w:p>
    <w:p w14:paraId="6BE26EBD" w14:textId="77777777" w:rsidR="00DA54F0" w:rsidRPr="00DA54F0" w:rsidRDefault="00DA54F0" w:rsidP="0043768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 w:rsidRPr="00DA54F0">
        <w:t xml:space="preserve">BSO </w:t>
      </w:r>
      <w:r w:rsidR="00B025AF">
        <w:t xml:space="preserve">Execution </w:t>
      </w:r>
      <w:r w:rsidR="00B025AF" w:rsidRPr="00DA54F0">
        <w:t xml:space="preserve">Transfer </w:t>
      </w:r>
      <w:r w:rsidR="00807539">
        <w:t>template:</w:t>
      </w:r>
    </w:p>
    <w:p w14:paraId="68BF40D8" w14:textId="77777777" w:rsidR="00996FA3" w:rsidRDefault="00DA54F0" w:rsidP="00C57B68">
      <w:pPr>
        <w:ind w:left="360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object w:dxaOrig="1540" w:dyaOrig="997" w14:anchorId="56D96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0.4pt" o:ole="">
            <v:imagedata r:id="rId10" o:title=""/>
          </v:shape>
          <o:OLEObject Type="Embed" ProgID="Excel.Sheet.12" ShapeID="_x0000_i1025" DrawAspect="Icon" ObjectID="_1773647480" r:id="rId11"/>
        </w:object>
      </w:r>
    </w:p>
    <w:p w14:paraId="0C2785CC" w14:textId="77777777" w:rsidR="00DA54F0" w:rsidRPr="00DA54F0" w:rsidRDefault="00DA54F0" w:rsidP="00DA54F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Style w:val="Hyperlink"/>
          <w:color w:val="auto"/>
          <w:u w:val="none"/>
        </w:rPr>
      </w:pPr>
      <w:r>
        <w:t>S</w:t>
      </w:r>
      <w:r w:rsidR="00807539">
        <w:t>ample</w:t>
      </w:r>
      <w:r>
        <w:t xml:space="preserve"> </w:t>
      </w:r>
      <w:r w:rsidRPr="00DA54F0">
        <w:t xml:space="preserve">BSO </w:t>
      </w:r>
      <w:r w:rsidR="00B025AF">
        <w:t xml:space="preserve">Execution </w:t>
      </w:r>
      <w:r w:rsidR="00B025AF" w:rsidRPr="00DA54F0">
        <w:t>Transfer</w:t>
      </w:r>
      <w:r w:rsidR="00807539">
        <w:t>:</w:t>
      </w:r>
      <w:r w:rsidRPr="00DA54F0">
        <w:t xml:space="preserve"> </w:t>
      </w:r>
    </w:p>
    <w:p w14:paraId="6344A917" w14:textId="77777777" w:rsidR="00996FA3" w:rsidRDefault="00996FA3" w:rsidP="00C57B68">
      <w:pPr>
        <w:ind w:left="360"/>
      </w:pPr>
      <w:r w:rsidRPr="00996FA3">
        <w:rPr>
          <w:noProof/>
        </w:rPr>
        <w:drawing>
          <wp:inline distT="0" distB="0" distL="0" distR="0" wp14:anchorId="6D1013C3" wp14:editId="1CD3030C">
            <wp:extent cx="6172200" cy="495879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9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CA38" w14:textId="77777777" w:rsidR="00996FA3" w:rsidRDefault="00996FA3" w:rsidP="00C57B68">
      <w:pPr>
        <w:ind w:left="360"/>
      </w:pPr>
    </w:p>
    <w:p w14:paraId="17B5B1A5" w14:textId="77777777" w:rsidR="00996FA3" w:rsidRDefault="00996FA3" w:rsidP="00C57B68">
      <w:pPr>
        <w:ind w:left="360"/>
      </w:pPr>
    </w:p>
    <w:p w14:paraId="306CBE9D" w14:textId="77777777" w:rsidR="00996FA3" w:rsidRDefault="00996FA3" w:rsidP="00C57B68">
      <w:pPr>
        <w:ind w:left="360"/>
      </w:pPr>
    </w:p>
    <w:sectPr w:rsidR="00996FA3" w:rsidSect="004B4B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6C6F" w14:textId="77777777" w:rsidR="004B4BBB" w:rsidRDefault="004B4BBB" w:rsidP="00740EEA">
      <w:pPr>
        <w:spacing w:after="0" w:line="240" w:lineRule="auto"/>
      </w:pPr>
      <w:r>
        <w:separator/>
      </w:r>
    </w:p>
  </w:endnote>
  <w:endnote w:type="continuationSeparator" w:id="0">
    <w:p w14:paraId="3CEBB7F7" w14:textId="77777777" w:rsidR="004B4BBB" w:rsidRDefault="004B4BBB" w:rsidP="0074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2CA2" w14:textId="77777777" w:rsidR="00B567D2" w:rsidRDefault="00B56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F0D6" w14:textId="77777777" w:rsidR="00B567D2" w:rsidRDefault="00B5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F05" w14:textId="77777777" w:rsidR="00B567D2" w:rsidRDefault="00B5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EB5B" w14:textId="77777777" w:rsidR="004B4BBB" w:rsidRDefault="004B4BBB" w:rsidP="00740EEA">
      <w:pPr>
        <w:spacing w:after="0" w:line="240" w:lineRule="auto"/>
      </w:pPr>
      <w:r>
        <w:separator/>
      </w:r>
    </w:p>
  </w:footnote>
  <w:footnote w:type="continuationSeparator" w:id="0">
    <w:p w14:paraId="6633DC40" w14:textId="77777777" w:rsidR="004B4BBB" w:rsidRDefault="004B4BBB" w:rsidP="0074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3C2C" w14:textId="77777777" w:rsidR="00B567D2" w:rsidRDefault="00B56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6610" w14:textId="633DF73E" w:rsidR="00740EEA" w:rsidRDefault="00740EEA">
    <w:pPr>
      <w:pStyle w:val="Header"/>
    </w:pPr>
    <w:r>
      <w:tab/>
    </w:r>
    <w:r>
      <w:tab/>
    </w:r>
    <w:r w:rsidR="00B14ED9">
      <w:t>2</w:t>
    </w:r>
    <w:r w:rsidR="00B567D2">
      <w:t>9</w:t>
    </w:r>
    <w:r w:rsidR="00B14ED9">
      <w:t xml:space="preserve"> </w:t>
    </w:r>
    <w:r w:rsidR="00B567D2">
      <w:t>MAR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7111" w14:textId="77777777" w:rsidR="00B567D2" w:rsidRDefault="00B5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84E"/>
    <w:multiLevelType w:val="hybridMultilevel"/>
    <w:tmpl w:val="AE6014C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741DC"/>
    <w:multiLevelType w:val="hybridMultilevel"/>
    <w:tmpl w:val="0ABC2E9C"/>
    <w:lvl w:ilvl="0" w:tplc="B330BE34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78A"/>
    <w:multiLevelType w:val="hybridMultilevel"/>
    <w:tmpl w:val="EA6A9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89232C"/>
    <w:multiLevelType w:val="hybridMultilevel"/>
    <w:tmpl w:val="AB2E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244"/>
    <w:multiLevelType w:val="hybridMultilevel"/>
    <w:tmpl w:val="325E8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8252A"/>
    <w:multiLevelType w:val="hybridMultilevel"/>
    <w:tmpl w:val="0D20C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526DC"/>
    <w:multiLevelType w:val="hybridMultilevel"/>
    <w:tmpl w:val="0D20C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2724"/>
    <w:multiLevelType w:val="hybridMultilevel"/>
    <w:tmpl w:val="919ED8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2538">
    <w:abstractNumId w:val="3"/>
  </w:num>
  <w:num w:numId="2" w16cid:durableId="112287888">
    <w:abstractNumId w:val="3"/>
  </w:num>
  <w:num w:numId="3" w16cid:durableId="521474397">
    <w:abstractNumId w:val="5"/>
  </w:num>
  <w:num w:numId="4" w16cid:durableId="781195553">
    <w:abstractNumId w:val="0"/>
  </w:num>
  <w:num w:numId="5" w16cid:durableId="1084449512">
    <w:abstractNumId w:val="2"/>
  </w:num>
  <w:num w:numId="6" w16cid:durableId="161898813">
    <w:abstractNumId w:val="4"/>
  </w:num>
  <w:num w:numId="7" w16cid:durableId="912352040">
    <w:abstractNumId w:val="7"/>
  </w:num>
  <w:num w:numId="8" w16cid:durableId="428043048">
    <w:abstractNumId w:val="6"/>
  </w:num>
  <w:num w:numId="9" w16cid:durableId="129652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68"/>
    <w:rsid w:val="000E425F"/>
    <w:rsid w:val="000F568B"/>
    <w:rsid w:val="004B4BBB"/>
    <w:rsid w:val="004C0AAF"/>
    <w:rsid w:val="00565D0B"/>
    <w:rsid w:val="00651631"/>
    <w:rsid w:val="00740EEA"/>
    <w:rsid w:val="007E6D61"/>
    <w:rsid w:val="00807539"/>
    <w:rsid w:val="00916416"/>
    <w:rsid w:val="00996FA3"/>
    <w:rsid w:val="00A06FC6"/>
    <w:rsid w:val="00A5668F"/>
    <w:rsid w:val="00B025AF"/>
    <w:rsid w:val="00B14ED9"/>
    <w:rsid w:val="00B567D2"/>
    <w:rsid w:val="00B772E7"/>
    <w:rsid w:val="00C57B68"/>
    <w:rsid w:val="00C62669"/>
    <w:rsid w:val="00D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7642"/>
  <w15:chartTrackingRefBased/>
  <w15:docId w15:val="{3A6CCD70-EBA3-4DBE-9ECC-65ACA2A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A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EA"/>
  </w:style>
  <w:style w:type="paragraph" w:styleId="Footer">
    <w:name w:val="footer"/>
    <w:basedOn w:val="Normal"/>
    <w:link w:val="FooterChar"/>
    <w:uiPriority w:val="99"/>
    <w:unhideWhenUsed/>
    <w:rsid w:val="0074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ell.g.pascua.civ@us.navy.mi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garet.m.noland.civ@us.navy.mil" TargetMode="Externa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sa.gov/buying-selling/purchasing-programs/requisition-programs/gsa-global-supply/national-stock-numbers/security-containe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Noland, Margaret M CIV NAVFAC LANT, CI</dc:creator>
  <cp:keywords/>
  <dc:description/>
  <cp:lastModifiedBy>Margaret Noland</cp:lastModifiedBy>
  <cp:revision>3</cp:revision>
  <dcterms:created xsi:type="dcterms:W3CDTF">2024-03-29T14:25:00Z</dcterms:created>
  <dcterms:modified xsi:type="dcterms:W3CDTF">2024-04-03T15:05:00Z</dcterms:modified>
</cp:coreProperties>
</file>