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22C2D" w14:textId="77777777" w:rsidR="00100CE8" w:rsidRDefault="00100CE8">
      <w:pPr>
        <w:widowControl w:val="0"/>
        <w:autoSpaceDE w:val="0"/>
        <w:autoSpaceDN w:val="0"/>
        <w:adjustRightInd w:val="0"/>
        <w:spacing w:after="0" w:line="240" w:lineRule="auto"/>
        <w:rPr>
          <w:rFonts w:ascii="Times New Roman" w:hAnsi="Times New Roman"/>
          <w:sz w:val="24"/>
          <w:szCs w:val="24"/>
        </w:rPr>
      </w:pPr>
    </w:p>
    <w:p w14:paraId="6825911D" w14:textId="77777777" w:rsidR="00100CE8" w:rsidRDefault="00100CE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43CEC6A" w14:textId="77777777" w:rsidR="00100CE8" w:rsidRDefault="00100CE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3046610C"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1705C83A"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53DF1BC1"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138AE47"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6682BA9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403D737F"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1084A8E7"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4C50709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44FD6146"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47898848"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023E016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1FC9B98C"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18DFE88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60E799FE"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caution when allowing or designing mixture of clay brick and concrete masonry unit veneers in same elevation. Their different densities, absorption, and expansion/contraction rates can yield facade cracks that might not occur otherwiseUse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300B8C27"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460C76B4"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6732BC9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207AE27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254E229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4191689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02659CF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0F431668"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1BBF5E7D"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1798AF90"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5793EC18"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60D54B2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71B20437"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5558B062"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467389ED"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597F194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pre-cast concrete][unit masonry] [metal framed][wood framed][sheathed] wall systems [with insulation] when integral with [shop fabricated wall systems][expansion control] as described below:</w:t>
      </w:r>
    </w:p>
    <w:p w14:paraId="7BF9538A"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2706CF6B"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4B500021"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5721DE0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494FD64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16DB9DC3"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023FF804"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6B1A7171"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707EDA89"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4D92AC7C"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0EEFEE7C"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259CD1E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0C2E6ADC"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6BC633C4"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2DBCC8BC"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3E6DA8BE" w14:textId="77777777" w:rsidR="00100CE8"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0FEF4FB4"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6AD15539"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2.</w:t>
      </w:r>
      <w:r w:rsidRPr="008A3DF5">
        <w:rPr>
          <w:rFonts w:ascii="ArialMT" w:hAnsi="ArialMT" w:cs="ArialMT"/>
          <w:sz w:val="20"/>
          <w:szCs w:val="20"/>
        </w:rPr>
        <w:tab/>
        <w:t>Barrier treatment at wall openings.</w:t>
      </w:r>
    </w:p>
    <w:p w14:paraId="7BBF6BAE"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7992FBB3"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3.</w:t>
      </w:r>
      <w:r w:rsidRPr="008A3DF5">
        <w:rPr>
          <w:rFonts w:ascii="ArialMT" w:hAnsi="ArialMT" w:cs="ArialMT"/>
          <w:sz w:val="20"/>
          <w:szCs w:val="20"/>
        </w:rPr>
        <w:tab/>
        <w:t>Intersections with other exterior enclosure assemblies and materials. Include intersections at roof and floors.</w:t>
      </w:r>
    </w:p>
    <w:p w14:paraId="16CF0E39"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20614E7E"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4.</w:t>
      </w:r>
      <w:r w:rsidRPr="008A3DF5">
        <w:rPr>
          <w:rFonts w:ascii="ArialMT" w:hAnsi="ArialMT" w:cs="ArialMT"/>
          <w:sz w:val="20"/>
          <w:szCs w:val="20"/>
        </w:rPr>
        <w:tab/>
        <w:t>Intersections with counter flashing.</w:t>
      </w:r>
    </w:p>
    <w:p w14:paraId="500CEA93"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1A8FE917"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5.</w:t>
      </w:r>
      <w:r w:rsidRPr="008A3DF5">
        <w:rPr>
          <w:rFonts w:ascii="ArialMT" w:hAnsi="ArialMT" w:cs="ArialMT"/>
          <w:sz w:val="20"/>
          <w:szCs w:val="20"/>
        </w:rPr>
        <w:tab/>
        <w:t>Inside and outside corners.</w:t>
      </w:r>
    </w:p>
    <w:p w14:paraId="1DEDC91C"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46490206"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6.</w:t>
      </w:r>
      <w:r w:rsidRPr="008A3DF5">
        <w:rPr>
          <w:rFonts w:ascii="ArialMT" w:hAnsi="ArialMT" w:cs="ArialMT"/>
          <w:sz w:val="20"/>
          <w:szCs w:val="20"/>
        </w:rPr>
        <w:tab/>
        <w:t>Preservation of air and water tightness at anchors for materials that cover the barrier.</w:t>
      </w:r>
    </w:p>
    <w:p w14:paraId="79DF8BA0"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0FFC651A"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7.</w:t>
      </w:r>
      <w:r w:rsidRPr="008A3DF5">
        <w:rPr>
          <w:rFonts w:ascii="ArialMT" w:hAnsi="ArialMT" w:cs="ArialMT"/>
          <w:sz w:val="20"/>
          <w:szCs w:val="20"/>
        </w:rPr>
        <w:tab/>
        <w:t>Treatment to seal barrier penetrations such as conduits, pipes, electric boxes, and fixtures.</w:t>
      </w:r>
    </w:p>
    <w:p w14:paraId="60BF402E"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240E0538" w14:textId="77777777" w:rsidR="00100CE8" w:rsidRPr="008A3DF5" w:rsidRDefault="00100C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A3DF5">
        <w:rPr>
          <w:rFonts w:ascii="ArialMT" w:hAnsi="ArialMT" w:cs="ArialMT"/>
          <w:sz w:val="20"/>
          <w:szCs w:val="20"/>
        </w:rPr>
        <w:t>8.</w:t>
      </w:r>
      <w:r w:rsidRPr="008A3DF5">
        <w:rPr>
          <w:rFonts w:ascii="ArialMT" w:hAnsi="ArialMT" w:cs="ArialMT"/>
          <w:sz w:val="20"/>
          <w:szCs w:val="20"/>
        </w:rPr>
        <w:tab/>
        <w:t>Indicate air barrier perimeter, if facility is segmented into areas that are not within the air barrier envelope.</w:t>
      </w:r>
    </w:p>
    <w:p w14:paraId="48EB0D62" w14:textId="77777777" w:rsidR="00100CE8" w:rsidRPr="008A3DF5" w:rsidRDefault="00100CE8">
      <w:pPr>
        <w:widowControl w:val="0"/>
        <w:autoSpaceDE w:val="0"/>
        <w:autoSpaceDN w:val="0"/>
        <w:adjustRightInd w:val="0"/>
        <w:spacing w:after="0" w:line="240" w:lineRule="auto"/>
        <w:rPr>
          <w:rFonts w:ascii="ArialMT" w:hAnsi="ArialMT" w:cs="ArialMT"/>
          <w:sz w:val="20"/>
          <w:szCs w:val="20"/>
        </w:rPr>
      </w:pPr>
    </w:p>
    <w:p w14:paraId="7C6D52D9" w14:textId="77777777" w:rsidR="00100CE8" w:rsidRDefault="00100CE8" w:rsidP="008A3DF5">
      <w:pPr>
        <w:widowControl w:val="0"/>
        <w:tabs>
          <w:tab w:val="left" w:pos="340"/>
        </w:tabs>
        <w:autoSpaceDE w:val="0"/>
        <w:autoSpaceDN w:val="0"/>
        <w:adjustRightInd w:val="0"/>
        <w:spacing w:after="0" w:line="240" w:lineRule="auto"/>
        <w:rPr>
          <w:rFonts w:ascii="ArialMT" w:hAnsi="ArialMT" w:cs="ArialMT"/>
          <w:sz w:val="32"/>
          <w:szCs w:val="32"/>
        </w:rPr>
      </w:pPr>
    </w:p>
    <w:p w14:paraId="09103E67"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4F36BABA"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01A64C16"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63C1ABA7"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17E30056"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7A9099F0"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186E7CF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[[manually] [electrically] operated roll </w:t>
      </w:r>
      <w:proofErr w:type="gramStart"/>
      <w:r>
        <w:rPr>
          <w:rFonts w:ascii="ArialMT" w:hAnsi="ArialMT" w:cs="ArialMT"/>
          <w:sz w:val="20"/>
          <w:szCs w:val="20"/>
        </w:rPr>
        <w:t>type ]storm</w:t>
      </w:r>
      <w:proofErr w:type="gramEnd"/>
      <w:r>
        <w:rPr>
          <w:rFonts w:ascii="ArialMT" w:hAnsi="ArialMT" w:cs="ArialMT"/>
          <w:sz w:val="20"/>
          <w:szCs w:val="20"/>
        </w:rPr>
        <w:t xml:space="preserve"> shutters for all exterior windows [and doors].]</w:t>
      </w:r>
    </w:p>
    <w:p w14:paraId="61BC84B7"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183C45C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5B4DF9AC"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59702A87"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3F1C5E3A"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3E57A11A"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Use a gypsum board soffit for low cost residential construction, when budget is the sole criteria.</w:t>
      </w:r>
      <w:r>
        <w:rPr>
          <w:rFonts w:ascii="ArialMT" w:hAnsi="ArialMT" w:cs="ArialMT"/>
          <w:b/>
          <w:bCs/>
          <w:vanish/>
          <w:color w:val="0000FF"/>
          <w:sz w:val="20"/>
          <w:szCs w:val="20"/>
        </w:rPr>
        <w:br/>
        <w:t>**********************************************************************************************************</w:t>
      </w:r>
    </w:p>
    <w:p w14:paraId="42CC279B"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2D1831E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 [painted exterior grade gypsum board].</w:t>
      </w:r>
    </w:p>
    <w:p w14:paraId="143E9D5F"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4127F910"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358AB374"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25133E6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6E4E10BE"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43E5379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4B938622"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758DA91B"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569D5A15"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6D95B968"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are not permitted.]  Exterior windows must be [prefinished aluminum] [plastic] [vinyl or aluminum-clad wood] [primed and painted wood].  [Windows must meet Antiterrorism requirements.]</w:t>
      </w:r>
    </w:p>
    <w:p w14:paraId="23F6CC8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w:t>
      </w:r>
      <w:proofErr w:type="gramStart"/>
      <w:r>
        <w:rPr>
          <w:rFonts w:ascii="ArialMT" w:hAnsi="ArialMT" w:cs="ArialMT"/>
          <w:sz w:val="20"/>
          <w:szCs w:val="20"/>
        </w:rPr>
        <w:t>. ]</w:t>
      </w:r>
      <w:proofErr w:type="gramEnd"/>
    </w:p>
    <w:p w14:paraId="4E125481"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3040A870"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3B8AA6C8"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512D152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49926D56"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11795E1A"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781BC776"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5CBFE6A9"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4900D7B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40600D53"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B202003 CURTAIN WALLS </w:t>
      </w:r>
    </w:p>
    <w:p w14:paraId="3FEC096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curtain wall is a reinforced window wall that spans more than one story in height.</w:t>
      </w:r>
    </w:p>
    <w:p w14:paraId="5D32D0D2"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0181FEE8"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731CABF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2DFF4BCD"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360BC7B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7CF9CC4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161F02AF"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3EB6B849"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02C891A7"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638871E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 color [matching existing adjacent buildings].  Where bullet resistant glazing is required </w:t>
      </w:r>
      <w:proofErr w:type="gramStart"/>
      <w:r>
        <w:rPr>
          <w:rFonts w:ascii="ArialMT" w:hAnsi="ArialMT" w:cs="ArialMT"/>
          <w:sz w:val="20"/>
          <w:szCs w:val="20"/>
        </w:rPr>
        <w:t>the materials must be listed by     Underwriters Laboratories (UL)</w:t>
      </w:r>
      <w:proofErr w:type="gramEnd"/>
      <w:r>
        <w:rPr>
          <w:rFonts w:ascii="ArialMT" w:hAnsi="ArialMT" w:cs="ArialMT"/>
          <w:sz w:val="20"/>
          <w:szCs w:val="20"/>
        </w:rPr>
        <w:t xml:space="preserve"> as bullet resisting, with a power rating of [Medium--Small Arms] [High--Small Arms] [Super--Small Arms] [High--Rifle] in accordance with     Underwriters Laboratories (UL) 752.]</w:t>
      </w:r>
    </w:p>
    <w:p w14:paraId="0487B57F"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654A812E"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764ABCD1"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w:t>
      </w:r>
      <w:proofErr w:type="gramStart"/>
      <w:r>
        <w:rPr>
          <w:rFonts w:ascii="ArialMT" w:hAnsi="ArialMT" w:cs="ArialMT"/>
          <w:sz w:val="20"/>
          <w:szCs w:val="20"/>
        </w:rPr>
        <w:t>glass][</w:t>
      </w:r>
      <w:proofErr w:type="gramEnd"/>
      <w:r>
        <w:rPr>
          <w:rFonts w:ascii="ArialMT" w:hAnsi="ArialMT" w:cs="ArialMT"/>
          <w:sz w:val="20"/>
          <w:szCs w:val="20"/>
        </w:rPr>
        <w:t xml:space="preserve">wireglass][insulating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2C3A887A"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5C926F2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78C0471F"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0375636E"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49742D7B"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09019C35"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1DD24C8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27CEEED9"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48ADD4D2"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In residential construction, where the opening is protected by overhangs and other protection from direct rain, wood exterior doors may be used. </w:t>
      </w:r>
    </w:p>
    <w:p w14:paraId="4FCA5BE6"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glazing that matches the window glazing.]</w:t>
      </w:r>
    </w:p>
    <w:p w14:paraId="213457B4"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7015635D"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w:t>
      </w:r>
      <w:proofErr w:type="gramStart"/>
      <w:r>
        <w:rPr>
          <w:rFonts w:ascii="ArialMT" w:hAnsi="ArialMT" w:cs="ArialMT"/>
          <w:sz w:val="20"/>
          <w:szCs w:val="20"/>
        </w:rPr>
        <w:t>][</w:t>
      </w:r>
      <w:proofErr w:type="gramEnd"/>
      <w:r>
        <w:rPr>
          <w:rFonts w:ascii="ArialMT" w:hAnsi="ArialMT" w:cs="ArialMT"/>
          <w:sz w:val="20"/>
          <w:szCs w:val="20"/>
        </w:rPr>
        <w:t>fiberglass reinforced plastic (FRP)] [wood]  door assemblies other than at main storefront/curtainwall entrances including [painted] [prefinished] [zinc coated] [galvanized] heavy-duty, non-corroding, [insulated] doors with [frames] and hardware.</w:t>
      </w:r>
    </w:p>
    <w:p w14:paraId="7F91D1DB"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 doors with [rotary </w:t>
      </w:r>
      <w:proofErr w:type="gramStart"/>
      <w:r>
        <w:rPr>
          <w:rFonts w:ascii="ArialMT" w:hAnsi="ArialMT" w:cs="ArialMT"/>
          <w:sz w:val="20"/>
          <w:szCs w:val="20"/>
        </w:rPr>
        <w:t>cut][</w:t>
      </w:r>
      <w:proofErr w:type="gramEnd"/>
      <w:r>
        <w:rPr>
          <w:rFonts w:ascii="ArialMT" w:hAnsi="ArialMT" w:cs="ArialMT"/>
          <w:sz w:val="20"/>
          <w:szCs w:val="20"/>
        </w:rPr>
        <w:t>book matched][random match (only for veneer on painted doors)] hardwood veneers.  Edge bands must be wood.  Also provide [louvers] [and] [accessories] and wall opening elements such as [lintels] [sills] and [flashings].</w:t>
      </w:r>
    </w:p>
    <w:p w14:paraId="182CAE21"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0520ED4D"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t>
      </w:r>
      <w:proofErr w:type="gramStart"/>
      <w:r>
        <w:rPr>
          <w:rFonts w:ascii="ArialMT" w:hAnsi="ArialMT" w:cs="ArialMT"/>
          <w:sz w:val="20"/>
          <w:szCs w:val="20"/>
        </w:rPr>
        <w:t>with  [</w:t>
      </w:r>
      <w:proofErr w:type="gramEnd"/>
      <w:r>
        <w:rPr>
          <w:rFonts w:ascii="ArialMT" w:hAnsi="ArialMT" w:cs="ArialMT"/>
          <w:sz w:val="20"/>
          <w:szCs w:val="20"/>
        </w:rPr>
        <w:t>insulated], [tinted] [glazing], frames, and hardware [compatible with other buildings on the base] and wall opening elements such as lintels, sills, through-wall flashings, and joint sealers.</w:t>
      </w:r>
    </w:p>
    <w:p w14:paraId="5B3C571F"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34E72A49"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234E0D2F"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045C95AD"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6EE6B9E7"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2476CBA1"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7C6EAAF0"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3CA0B605"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7C73A8F7"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7C26130C" w14:textId="77777777" w:rsidR="00100CE8" w:rsidRDefault="00100C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5BB5B55C" w14:textId="77777777" w:rsidR="00100CE8" w:rsidRDefault="00100CE8">
      <w:pPr>
        <w:widowControl w:val="0"/>
        <w:autoSpaceDE w:val="0"/>
        <w:autoSpaceDN w:val="0"/>
        <w:adjustRightInd w:val="0"/>
        <w:spacing w:after="0" w:line="240" w:lineRule="auto"/>
        <w:rPr>
          <w:rFonts w:ascii="ArialMT" w:hAnsi="ArialMT" w:cs="ArialMT"/>
          <w:vanish/>
          <w:sz w:val="20"/>
          <w:szCs w:val="20"/>
        </w:rPr>
      </w:pPr>
    </w:p>
    <w:p w14:paraId="64FB69F4"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overhead sectional doors that conform to [Residential] [</w:t>
      </w:r>
      <w:proofErr w:type="gramStart"/>
      <w:r>
        <w:rPr>
          <w:rFonts w:ascii="ArialMT" w:hAnsi="ArialMT" w:cs="ArialMT"/>
          <w:sz w:val="20"/>
          <w:szCs w:val="20"/>
        </w:rPr>
        <w:t xml:space="preserve">Commercial]   </w:t>
      </w:r>
      <w:proofErr w:type="gramEnd"/>
      <w:r>
        <w:rPr>
          <w:rFonts w:ascii="ArialMT" w:hAnsi="ArialMT" w:cs="ArialMT"/>
          <w:sz w:val="20"/>
          <w:szCs w:val="20"/>
        </w:rPr>
        <w:t xml:space="preserve">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1C1CA62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12202C2C"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B203006 BLAST RESISTANT DOORS </w:t>
      </w:r>
    </w:p>
    <w:p w14:paraId="774B5851"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special doors used for blast resistance. </w:t>
      </w:r>
    </w:p>
    <w:p w14:paraId="20880E71"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1E9ED800"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4ED12E66"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49EDD3F3"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43E8E366"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58689CE4"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4057B2B1" w14:textId="77777777" w:rsidR="00100CE8" w:rsidRDefault="00100C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B203090 OTHER EXTERIOR SPECIALTY DOORS </w:t>
      </w:r>
    </w:p>
    <w:p w14:paraId="7F6EFE4C"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601EAD2F" w14:textId="77777777" w:rsidR="00100CE8" w:rsidRDefault="00100C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100CE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7ADF2" w14:textId="77777777" w:rsidR="000226DB" w:rsidRDefault="000226DB">
      <w:pPr>
        <w:spacing w:after="0" w:line="240" w:lineRule="auto"/>
      </w:pPr>
      <w:r>
        <w:separator/>
      </w:r>
    </w:p>
  </w:endnote>
  <w:endnote w:type="continuationSeparator" w:id="0">
    <w:p w14:paraId="3E8C3BEA" w14:textId="77777777" w:rsidR="000226DB" w:rsidRDefault="00022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2A9D4" w14:textId="77777777" w:rsidR="00100CE8" w:rsidRDefault="00100CE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25B3C" w14:textId="77777777" w:rsidR="000226DB" w:rsidRDefault="000226DB">
      <w:pPr>
        <w:spacing w:after="0" w:line="240" w:lineRule="auto"/>
      </w:pPr>
      <w:r>
        <w:separator/>
      </w:r>
    </w:p>
  </w:footnote>
  <w:footnote w:type="continuationSeparator" w:id="0">
    <w:p w14:paraId="26DE52A3" w14:textId="77777777" w:rsidR="000226DB" w:rsidRDefault="00022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E066D" w14:textId="77777777" w:rsidR="00100CE8" w:rsidRDefault="00100CE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5"/>
    <w:rsid w:val="000226DB"/>
    <w:rsid w:val="00100CE8"/>
    <w:rsid w:val="008A3DF5"/>
    <w:rsid w:val="00C55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CA45E"/>
  <w14:defaultImageDpi w14:val="0"/>
  <w15:docId w15:val="{905AD1F2-8FF7-4DAE-8469-BEB591970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4159</Words>
  <Characters>23711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2024-06-12T20:12:00Z</dcterms:created>
  <dcterms:modified xsi:type="dcterms:W3CDTF">2024-06-12T20:12:00Z</dcterms:modified>
  <cp:category>Design Build</cp:category>
</cp:coreProperties>
</file>